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E75029" w14:textId="77777777" w:rsidR="00C12716" w:rsidRDefault="00C12716" w:rsidP="00C12716">
      <w:bookmarkStart w:id="0" w:name="MOTTAKERNAVN"/>
      <w:bookmarkEnd w:id="0"/>
    </w:p>
    <w:p w14:paraId="61FB182C" w14:textId="77777777" w:rsidR="00C12716" w:rsidRDefault="00C12716" w:rsidP="00C12716">
      <w:bookmarkStart w:id="1" w:name="ADRESSE"/>
      <w:bookmarkEnd w:id="1"/>
    </w:p>
    <w:p w14:paraId="78DB43AC" w14:textId="77777777" w:rsidR="00C12716" w:rsidRDefault="00C12716" w:rsidP="00C12716">
      <w:bookmarkStart w:id="2" w:name="POSTNR"/>
      <w:bookmarkEnd w:id="2"/>
      <w:r>
        <w:t xml:space="preserve"> </w:t>
      </w:r>
      <w:bookmarkStart w:id="3" w:name="POSTSTED"/>
      <w:bookmarkEnd w:id="3"/>
    </w:p>
    <w:p w14:paraId="0EC008B6" w14:textId="77777777" w:rsidR="00C12716" w:rsidRDefault="00C12716" w:rsidP="00C12716"/>
    <w:p w14:paraId="781ADEE4" w14:textId="77777777" w:rsidR="00C12716" w:rsidRDefault="00C12716" w:rsidP="00C12716">
      <w:bookmarkStart w:id="4" w:name="Kontakt"/>
      <w:bookmarkEnd w:id="4"/>
    </w:p>
    <w:p w14:paraId="39E5DA8C" w14:textId="77777777" w:rsidR="00C12716" w:rsidRDefault="00C12716" w:rsidP="00C12716"/>
    <w:p w14:paraId="41FE0127" w14:textId="77777777" w:rsidR="00C12716" w:rsidRPr="00B97EFA" w:rsidRDefault="00C12716" w:rsidP="00C12716">
      <w:pPr>
        <w:pStyle w:val="Fasttopptekst"/>
        <w:tabs>
          <w:tab w:val="left" w:pos="1843"/>
          <w:tab w:val="left" w:pos="3686"/>
          <w:tab w:val="left" w:pos="6379"/>
        </w:tabs>
        <w:rPr>
          <w:rFonts w:ascii="Cambria" w:hAnsi="Cambria"/>
          <w:sz w:val="20"/>
          <w:szCs w:val="20"/>
        </w:rPr>
      </w:pPr>
      <w:r w:rsidRPr="00B97EFA">
        <w:rPr>
          <w:rFonts w:ascii="Cambria" w:hAnsi="Cambria"/>
          <w:sz w:val="20"/>
          <w:szCs w:val="20"/>
        </w:rPr>
        <w:t xml:space="preserve">Deres </w:t>
      </w:r>
      <w:proofErr w:type="spellStart"/>
      <w:r w:rsidRPr="00B97EFA">
        <w:rPr>
          <w:rFonts w:ascii="Cambria" w:hAnsi="Cambria"/>
          <w:sz w:val="20"/>
          <w:szCs w:val="20"/>
        </w:rPr>
        <w:t>ref</w:t>
      </w:r>
      <w:proofErr w:type="spellEnd"/>
      <w:r w:rsidRPr="00B97EFA">
        <w:rPr>
          <w:rFonts w:ascii="Cambria" w:hAnsi="Cambria"/>
          <w:sz w:val="20"/>
          <w:szCs w:val="20"/>
        </w:rPr>
        <w:t xml:space="preserve">: </w:t>
      </w:r>
      <w:r w:rsidRPr="00B97EFA">
        <w:rPr>
          <w:rFonts w:ascii="Cambria" w:hAnsi="Cambria"/>
          <w:sz w:val="20"/>
          <w:szCs w:val="20"/>
        </w:rPr>
        <w:tab/>
        <w:t xml:space="preserve">Vår </w:t>
      </w:r>
      <w:proofErr w:type="spellStart"/>
      <w:r w:rsidRPr="00B97EFA">
        <w:rPr>
          <w:rFonts w:ascii="Cambria" w:hAnsi="Cambria"/>
          <w:sz w:val="20"/>
          <w:szCs w:val="20"/>
        </w:rPr>
        <w:t>ref</w:t>
      </w:r>
      <w:proofErr w:type="spellEnd"/>
      <w:r w:rsidRPr="00B97EFA">
        <w:rPr>
          <w:rFonts w:ascii="Cambria" w:hAnsi="Cambria"/>
          <w:sz w:val="20"/>
          <w:szCs w:val="20"/>
        </w:rPr>
        <w:t>:</w:t>
      </w:r>
      <w:r w:rsidRPr="00B97EFA">
        <w:rPr>
          <w:rFonts w:ascii="Cambria" w:hAnsi="Cambria"/>
          <w:sz w:val="20"/>
          <w:szCs w:val="20"/>
        </w:rPr>
        <w:tab/>
        <w:t xml:space="preserve">Saksbehandler </w:t>
      </w:r>
      <w:r w:rsidRPr="00B97EFA">
        <w:rPr>
          <w:rFonts w:ascii="Cambria" w:hAnsi="Cambria"/>
          <w:sz w:val="20"/>
          <w:szCs w:val="20"/>
        </w:rPr>
        <w:tab/>
        <w:t>Dato:</w:t>
      </w:r>
    </w:p>
    <w:p w14:paraId="487F1C45" w14:textId="705725B5" w:rsidR="00C12716" w:rsidRPr="00EF66C9" w:rsidRDefault="00C12716" w:rsidP="00C12716">
      <w:pPr>
        <w:pStyle w:val="Variabeltopptekst"/>
        <w:tabs>
          <w:tab w:val="left" w:pos="1843"/>
          <w:tab w:val="left" w:pos="3686"/>
          <w:tab w:val="left" w:pos="6379"/>
        </w:tabs>
        <w:rPr>
          <w:rFonts w:ascii="Cambria" w:hAnsi="Cambria"/>
          <w:sz w:val="20"/>
          <w:szCs w:val="20"/>
          <w:lang w:val="nn-NO"/>
        </w:rPr>
      </w:pPr>
      <w:bookmarkStart w:id="5" w:name="REF"/>
      <w:bookmarkEnd w:id="5"/>
      <w:r w:rsidRPr="00B97EFA">
        <w:rPr>
          <w:rFonts w:ascii="Cambria" w:hAnsi="Cambria"/>
          <w:sz w:val="20"/>
          <w:szCs w:val="20"/>
        </w:rPr>
        <w:tab/>
      </w:r>
      <w:bookmarkStart w:id="6" w:name="SAKSNR"/>
      <w:bookmarkEnd w:id="6"/>
      <w:r w:rsidRPr="00EF66C9">
        <w:rPr>
          <w:rFonts w:ascii="Cambria" w:hAnsi="Cambria"/>
          <w:sz w:val="20"/>
          <w:szCs w:val="20"/>
          <w:lang w:val="nn-NO"/>
        </w:rPr>
        <w:t>-</w:t>
      </w:r>
      <w:bookmarkStart w:id="7" w:name="NRISAK"/>
      <w:bookmarkEnd w:id="7"/>
      <w:r w:rsidRPr="00EF66C9">
        <w:rPr>
          <w:rFonts w:ascii="Cambria" w:hAnsi="Cambria"/>
          <w:sz w:val="20"/>
          <w:szCs w:val="20"/>
          <w:lang w:val="nn-NO"/>
        </w:rPr>
        <w:t>/</w:t>
      </w:r>
      <w:bookmarkStart w:id="8" w:name="Primærklassering"/>
      <w:bookmarkEnd w:id="8"/>
      <w:r w:rsidRPr="00EF66C9">
        <w:rPr>
          <w:rFonts w:ascii="Cambria" w:hAnsi="Cambria"/>
          <w:sz w:val="20"/>
          <w:szCs w:val="20"/>
          <w:lang w:val="nn-NO"/>
        </w:rPr>
        <w:tab/>
      </w:r>
      <w:bookmarkStart w:id="9" w:name="SAKSBEHANDLERNAVN2"/>
      <w:bookmarkEnd w:id="9"/>
      <w:r w:rsidR="003513CD" w:rsidRPr="00EF66C9">
        <w:rPr>
          <w:rFonts w:ascii="Cambria" w:hAnsi="Cambria"/>
          <w:sz w:val="20"/>
          <w:szCs w:val="20"/>
          <w:lang w:val="nn-NO"/>
        </w:rPr>
        <w:t xml:space="preserve">Terje </w:t>
      </w:r>
      <w:proofErr w:type="spellStart"/>
      <w:r w:rsidR="003513CD" w:rsidRPr="00EF66C9">
        <w:rPr>
          <w:rFonts w:ascii="Cambria" w:hAnsi="Cambria"/>
          <w:sz w:val="20"/>
          <w:szCs w:val="20"/>
          <w:lang w:val="nn-NO"/>
        </w:rPr>
        <w:t>Bless</w:t>
      </w:r>
      <w:proofErr w:type="spellEnd"/>
      <w:r w:rsidR="003513CD" w:rsidRPr="00EF66C9">
        <w:rPr>
          <w:rFonts w:ascii="Cambria" w:hAnsi="Cambria"/>
          <w:sz w:val="20"/>
          <w:szCs w:val="20"/>
          <w:lang w:val="nn-NO"/>
        </w:rPr>
        <w:t xml:space="preserve"> </w:t>
      </w:r>
      <w:r w:rsidRPr="00EF66C9">
        <w:rPr>
          <w:rFonts w:ascii="Cambria" w:hAnsi="Cambria"/>
          <w:sz w:val="20"/>
          <w:szCs w:val="20"/>
          <w:lang w:val="nn-NO"/>
        </w:rPr>
        <w:t>/</w:t>
      </w:r>
      <w:bookmarkStart w:id="10" w:name="SAKSBEHTLF"/>
      <w:bookmarkEnd w:id="10"/>
      <w:r w:rsidR="003513CD" w:rsidRPr="00EF66C9">
        <w:rPr>
          <w:rFonts w:ascii="Cambria" w:hAnsi="Cambria"/>
          <w:sz w:val="20"/>
          <w:szCs w:val="20"/>
          <w:lang w:val="nn-NO"/>
        </w:rPr>
        <w:t xml:space="preserve"> Tarald </w:t>
      </w:r>
      <w:proofErr w:type="spellStart"/>
      <w:r w:rsidR="003513CD" w:rsidRPr="00EF66C9">
        <w:rPr>
          <w:rFonts w:ascii="Cambria" w:hAnsi="Cambria"/>
          <w:sz w:val="20"/>
          <w:szCs w:val="20"/>
          <w:lang w:val="nn-NO"/>
        </w:rPr>
        <w:t>Sæstad</w:t>
      </w:r>
      <w:proofErr w:type="spellEnd"/>
      <w:r w:rsidRPr="00EF66C9">
        <w:rPr>
          <w:rFonts w:ascii="Cambria" w:hAnsi="Cambria"/>
          <w:sz w:val="20"/>
          <w:szCs w:val="20"/>
          <w:lang w:val="nn-NO"/>
        </w:rPr>
        <w:tab/>
        <w:t xml:space="preserve">Bodø, </w:t>
      </w:r>
      <w:bookmarkStart w:id="11" w:name="BREVDATO"/>
      <w:bookmarkEnd w:id="11"/>
      <w:r w:rsidR="00B201FA">
        <w:rPr>
          <w:rFonts w:ascii="Cambria" w:hAnsi="Cambria"/>
          <w:sz w:val="20"/>
          <w:szCs w:val="20"/>
          <w:lang w:val="nn-NO"/>
        </w:rPr>
        <w:t>7.9.2026</w:t>
      </w:r>
    </w:p>
    <w:p w14:paraId="4F6C5A82" w14:textId="77777777" w:rsidR="00C12716" w:rsidRPr="00EF66C9" w:rsidRDefault="00C12716" w:rsidP="00C12716">
      <w:pPr>
        <w:rPr>
          <w:lang w:val="nn-NO"/>
        </w:rPr>
      </w:pPr>
    </w:p>
    <w:p w14:paraId="0AD90618" w14:textId="06AE8E87" w:rsidR="00C12716" w:rsidRDefault="00874C01" w:rsidP="00C12716">
      <w:pPr>
        <w:pStyle w:val="Overskrift1"/>
      </w:pPr>
      <w:bookmarkStart w:id="12" w:name="Tittel"/>
      <w:bookmarkEnd w:id="12"/>
      <w:r>
        <w:t>Regulatorisk rammeverk for digitalisering i helsesektoren</w:t>
      </w:r>
    </w:p>
    <w:p w14:paraId="42CB8A87" w14:textId="77777777" w:rsidR="00C12716" w:rsidRDefault="00C12716" w:rsidP="00C12716"/>
    <w:p w14:paraId="6699F327" w14:textId="77777777" w:rsidR="00874C01" w:rsidRDefault="00874C01" w:rsidP="00C12716"/>
    <w:p w14:paraId="4762DD84" w14:textId="4B8844A1" w:rsidR="00037552" w:rsidRDefault="00874C01" w:rsidP="00C12716">
      <w:r>
        <w:t xml:space="preserve">Helse Nord RHF </w:t>
      </w:r>
      <w:r w:rsidR="002F71B5">
        <w:t>viser til</w:t>
      </w:r>
      <w:r>
        <w:t xml:space="preserve"> innspill </w:t>
      </w:r>
      <w:r w:rsidR="002F71B5">
        <w:t xml:space="preserve">fra </w:t>
      </w:r>
      <w:r>
        <w:t xml:space="preserve">Helse Sør-Øst RHF </w:t>
      </w:r>
      <w:proofErr w:type="gramStart"/>
      <w:r w:rsidR="002F71B5">
        <w:t xml:space="preserve">til </w:t>
      </w:r>
      <w:r>
        <w:t xml:space="preserve"> Helsereformutvalget</w:t>
      </w:r>
      <w:proofErr w:type="gramEnd"/>
      <w:r>
        <w:t xml:space="preserve"> i </w:t>
      </w:r>
      <w:hyperlink r:id="rId11" w:history="1">
        <w:r w:rsidRPr="00874C01">
          <w:rPr>
            <w:rStyle w:val="Hyperkobling"/>
          </w:rPr>
          <w:t>brev datert 3. juli 2026</w:t>
        </w:r>
      </w:hyperlink>
      <w:r>
        <w:t xml:space="preserve"> </w:t>
      </w:r>
      <w:proofErr w:type="gramStart"/>
      <w:r w:rsidR="002F730D">
        <w:t>vedrørende</w:t>
      </w:r>
      <w:proofErr w:type="gramEnd"/>
      <w:r w:rsidR="002F730D">
        <w:t xml:space="preserve"> behov for modernisering</w:t>
      </w:r>
      <w:r w:rsidR="00B04961">
        <w:t xml:space="preserve"> av dagens regelverk </w:t>
      </w:r>
      <w:r w:rsidR="00FC5261">
        <w:t xml:space="preserve">for å </w:t>
      </w:r>
      <w:r w:rsidR="0043421E">
        <w:t>utvikle en mer sammenhengende helse- og oms</w:t>
      </w:r>
      <w:r w:rsidR="00904524">
        <w:t>o</w:t>
      </w:r>
      <w:r w:rsidR="0043421E">
        <w:t>rgst</w:t>
      </w:r>
      <w:r w:rsidR="00904524">
        <w:t>j</w:t>
      </w:r>
      <w:r w:rsidR="0043421E">
        <w:t>e</w:t>
      </w:r>
      <w:r w:rsidR="00904524">
        <w:t>nes</w:t>
      </w:r>
      <w:r w:rsidR="0043421E">
        <w:t>te.</w:t>
      </w:r>
    </w:p>
    <w:p w14:paraId="2EBE926F" w14:textId="77777777" w:rsidR="00037552" w:rsidRDefault="00037552" w:rsidP="00C12716"/>
    <w:p w14:paraId="218B6577" w14:textId="362D2B42" w:rsidR="00874C01" w:rsidRDefault="00874C01" w:rsidP="00C12716">
      <w:r>
        <w:t xml:space="preserve">Helse Nord </w:t>
      </w:r>
      <w:r w:rsidR="00D12CEB">
        <w:t xml:space="preserve">støtter </w:t>
      </w:r>
      <w:r>
        <w:t>innspillet fra Helse Sør-Øst</w:t>
      </w:r>
      <w:r w:rsidR="00037552">
        <w:t xml:space="preserve">. </w:t>
      </w:r>
      <w:r w:rsidR="00020D03">
        <w:t xml:space="preserve">I likhet med </w:t>
      </w:r>
      <w:r>
        <w:t xml:space="preserve">Helse Sør-Øst </w:t>
      </w:r>
      <w:r w:rsidR="00425729">
        <w:t xml:space="preserve">erfarer vi at </w:t>
      </w:r>
      <w:r w:rsidR="00925E87">
        <w:t>dagens regulering</w:t>
      </w:r>
      <w:r w:rsidR="00F96EC9">
        <w:t xml:space="preserve"> av behandling av helseopplysninger</w:t>
      </w:r>
      <w:r w:rsidR="00925E87">
        <w:t xml:space="preserve"> </w:t>
      </w:r>
      <w:r w:rsidR="000036FB">
        <w:t xml:space="preserve">i </w:t>
      </w:r>
      <w:r w:rsidR="009254FE">
        <w:t>for liten grad er tilpasset</w:t>
      </w:r>
      <w:r w:rsidR="00242BF9">
        <w:t xml:space="preserve"> målet om integrerte helsetjenester og økt bruk av digitale løsninger på tver</w:t>
      </w:r>
      <w:r w:rsidR="00F44FFC">
        <w:t xml:space="preserve">s av </w:t>
      </w:r>
      <w:r w:rsidR="00094821">
        <w:t>virksomheter.</w:t>
      </w:r>
      <w:r w:rsidR="0070540C">
        <w:t xml:space="preserve"> </w:t>
      </w:r>
      <w:r w:rsidR="00D91BC0">
        <w:t>D</w:t>
      </w:r>
      <w:r>
        <w:t xml:space="preserve">ette </w:t>
      </w:r>
      <w:r w:rsidR="00D91BC0">
        <w:t xml:space="preserve">er </w:t>
      </w:r>
      <w:r>
        <w:t>et område med rivende utvikling som påvirker hvilke muligheter digitaliseringen gir og samtidig former hvilke forventninger samfunnet har. Helse Nord opplever at det nå er et betydelig gap mellom innbyggernes forventninger—og dermed også politiske prioriteringe</w:t>
      </w:r>
      <w:r w:rsidR="00AC6F50">
        <w:t>r</w:t>
      </w:r>
      <w:r>
        <w:t xml:space="preserve">—og </w:t>
      </w:r>
      <w:r w:rsidR="00AC6F50">
        <w:t>hvordan dagens lovverk legger til rette for deling av informasjon og samhandling</w:t>
      </w:r>
      <w:r>
        <w:t>.</w:t>
      </w:r>
    </w:p>
    <w:p w14:paraId="158E45A5" w14:textId="77777777" w:rsidR="00C12716" w:rsidRDefault="00C12716" w:rsidP="00C12716">
      <w:bookmarkStart w:id="13" w:name="Start"/>
      <w:bookmarkEnd w:id="13"/>
    </w:p>
    <w:p w14:paraId="117916A7" w14:textId="04255987" w:rsidR="00874C01" w:rsidRDefault="00874C01" w:rsidP="00C12716">
      <w:hyperlink r:id="rId12" w:history="1">
        <w:r w:rsidRPr="00874C01">
          <w:rPr>
            <w:rStyle w:val="Hyperkobling"/>
          </w:rPr>
          <w:t>Helsepersonelloven §</w:t>
        </w:r>
        <w:r>
          <w:rPr>
            <w:rStyle w:val="Hyperkobling"/>
          </w:rPr>
          <w:t> </w:t>
        </w:r>
        <w:r w:rsidRPr="00874C01">
          <w:rPr>
            <w:rStyle w:val="Hyperkobling"/>
          </w:rPr>
          <w:t>25</w:t>
        </w:r>
      </w:hyperlink>
      <w:r>
        <w:t xml:space="preserve"> slår fast at helseopplysninger kan deles når det er relevant og nødvendig for å yte helsehjelp; at slik deling kan skje gjennom direkte tilgang til systemet der opplysningene er lagret; og at det er det personellet som har behov for opplysningene som skal vurdere om de er nødvendige og relevante. Samtidig opplever vi at annen særlovgiving som berører dette området </w:t>
      </w:r>
      <w:r w:rsidR="00AC6F50">
        <w:t xml:space="preserve">tilsynelatende er utformet ut fra en grunnantagelse om at </w:t>
      </w:r>
      <w:r>
        <w:t xml:space="preserve">deling av helseopplysninger bør unngås og plasserer et </w:t>
      </w:r>
      <w:r w:rsidR="005772B2">
        <w:t>stort</w:t>
      </w:r>
      <w:r>
        <w:t xml:space="preserve"> ansvar på den enkelte virksomhet og det enkelte helsepersonell for </w:t>
      </w:r>
      <w:r w:rsidR="00AC6F50">
        <w:t xml:space="preserve">å </w:t>
      </w:r>
      <w:r>
        <w:t xml:space="preserve">sikre at deling av opplysninger oppfyller alle krav og begrensninger. Det skapes dermed et betydelig </w:t>
      </w:r>
      <w:proofErr w:type="spellStart"/>
      <w:r>
        <w:t>forventningsgap</w:t>
      </w:r>
      <w:proofErr w:type="spellEnd"/>
      <w:r>
        <w:t xml:space="preserve"> mellom de uttalte politiske føringene om mer og enklere deling (som forutsetning for pasientsikkerhet og samhandling og sammenhengende pasientforløp) som kommer til uttrykk gjennom helsepersonellovens </w:t>
      </w:r>
      <w:r w:rsidRPr="00874C01">
        <w:t>§</w:t>
      </w:r>
      <w:r>
        <w:t> </w:t>
      </w:r>
      <w:r w:rsidRPr="00874C01">
        <w:t>25</w:t>
      </w:r>
      <w:r>
        <w:t xml:space="preserve">, og det ansvar </w:t>
      </w:r>
      <w:proofErr w:type="gramStart"/>
      <w:r w:rsidR="00A51039">
        <w:t xml:space="preserve">lovgivningen </w:t>
      </w:r>
      <w:r>
        <w:t xml:space="preserve"> legge</w:t>
      </w:r>
      <w:r w:rsidR="00AC6F50">
        <w:t>r</w:t>
      </w:r>
      <w:proofErr w:type="gramEnd"/>
      <w:r>
        <w:t xml:space="preserve"> på </w:t>
      </w:r>
      <w:r w:rsidR="002E1F02">
        <w:t>de</w:t>
      </w:r>
      <w:r w:rsidR="00AC6F50">
        <w:t>n</w:t>
      </w:r>
      <w:r w:rsidR="002E1F02">
        <w:t xml:space="preserve"> enkelte </w:t>
      </w:r>
      <w:r>
        <w:t>virksomhet (et sykehus, en fastlege, en kommune) og helsepersonell.</w:t>
      </w:r>
    </w:p>
    <w:p w14:paraId="249E2636" w14:textId="77777777" w:rsidR="00874C01" w:rsidRDefault="00874C01" w:rsidP="00C12716"/>
    <w:p w14:paraId="581A71FB" w14:textId="77777777" w:rsidR="00874C01" w:rsidRDefault="00874C01" w:rsidP="00C12716">
      <w:r>
        <w:t xml:space="preserve">Et eksempel kan være kjernejournalforskriften som i </w:t>
      </w:r>
      <w:r w:rsidRPr="00874C01">
        <w:t>§</w:t>
      </w:r>
      <w:r>
        <w:t xml:space="preserve"> 4 detalj regulerer hvilken informasjon som kan gjøres tilgjengelig i Kjernejournal, og derved bli tilgjengelig for annet helsepersonell i en behandlingssituasjon. Innfallsvinkelen i paragrafen er at kun det som uttrykkelig er gjort lovlig kan deles der mens alt annet kan ikke deles, og altså stikk motsatt av grunninnrettingen i helsepersonelloven </w:t>
      </w:r>
      <w:r w:rsidRPr="00874C01">
        <w:t>§</w:t>
      </w:r>
      <w:r>
        <w:t> </w:t>
      </w:r>
      <w:r w:rsidRPr="00874C01">
        <w:t>25</w:t>
      </w:r>
      <w:r>
        <w:t xml:space="preserve">. Kjernejournalforskriften </w:t>
      </w:r>
      <w:r w:rsidRPr="00874C01">
        <w:t>§</w:t>
      </w:r>
      <w:r>
        <w:t> 4 krever også samtykke (formodentlig aktivt og informert sådan) før opplysninger om behandlingspreferanser (eg. medikamentell vs. kirurgisk), reservasjoner mot behandlinger, eller til og med behandlingsplaner kan deles.</w:t>
      </w:r>
    </w:p>
    <w:p w14:paraId="7D30D558" w14:textId="77777777" w:rsidR="00874C01" w:rsidRDefault="00874C01" w:rsidP="00C12716"/>
    <w:p w14:paraId="5C4A0A16" w14:textId="2E5F7A5A" w:rsidR="00874C01" w:rsidRDefault="00874C01" w:rsidP="00C12716">
      <w:r>
        <w:t xml:space="preserve">Det er altså i </w:t>
      </w:r>
      <w:r w:rsidR="00AC6F50">
        <w:t xml:space="preserve">kjernejournalforskriften i </w:t>
      </w:r>
      <w:r>
        <w:t>utgangspunktet forbudt å dele en behandlingsplan mellom samhandlende aktører i helsetjenesten—som ellers har rett til tilgang på helseopplysninger etter helsepersonelloven—med mindre et samtykke innhentes fra pasienten før noe deles. Siden dette ansvaret ligger på den enkelte virksomhet og helsepersonell vil hver aktør i samhandlingen måtte påse at slikt samtykke foreligger, og innhente samtykke fra pasient for de opplysninger de er opphav til i en slik plan.</w:t>
      </w:r>
    </w:p>
    <w:p w14:paraId="22B49360" w14:textId="77777777" w:rsidR="00874C01" w:rsidRDefault="00874C01" w:rsidP="00C12716"/>
    <w:p w14:paraId="38A01F0E" w14:textId="1FE448AE" w:rsidR="00874C01" w:rsidRDefault="00874C01" w:rsidP="00C12716">
      <w:r>
        <w:t>Tilbakemeldinger fra helsepersonell er at slike samtykkekrav generelt er tidkrevende å innhente og administrere i det som ofte er svært korte konsultasjoner, og samtidig ofte avstedkommer uforstående blikk fra pasienter som har en berettiget forventning om at slike opplysninger deles mellom virksomheter og helsepersonell når relevant og nødvendig. For å parafrasere en spissformulering fra en fastlege: «</w:t>
      </w:r>
      <w:r w:rsidRPr="00874C01">
        <w:rPr>
          <w:i/>
          <w:iCs/>
        </w:rPr>
        <w:t>Dersom jeg spurte mine pasienter om samtykke for dette ville de sett på meg som om jeg var blitt gal.</w:t>
      </w:r>
      <w:r>
        <w:t>»</w:t>
      </w:r>
    </w:p>
    <w:p w14:paraId="67585897" w14:textId="77777777" w:rsidR="00874C01" w:rsidRDefault="00874C01" w:rsidP="00C12716"/>
    <w:p w14:paraId="4D8423D2" w14:textId="110CA90C" w:rsidR="00AC6F50" w:rsidRDefault="00AC6F50" w:rsidP="00C12716">
      <w:r>
        <w:t xml:space="preserve">Det gir liten mening for de fleste at Kjernejournal skal ha slike tydelige begrensninger for opplysninger som uansett kan deles etter </w:t>
      </w:r>
      <w:r w:rsidRPr="00AC6F50">
        <w:t>helsepersonelloven § 25</w:t>
      </w:r>
      <w:r>
        <w:t>, og disse oppfattes dermed ofte i praksis som at de gjelder all digital samhandling og ikke bare Kjernejournal. Med det store antallet aktører som er involvert i nasjonale samhandlingsløsninger for helse, som alle har selvstendig ansvar, er det en påregnelig konsekvens at prosjekter stopper opp, eller aldri kommer av bakken, mens alle disse skal bli enige om lovligheten av den aktuelle løsningen.</w:t>
      </w:r>
    </w:p>
    <w:p w14:paraId="1A7CA64B" w14:textId="77777777" w:rsidR="00AC6F50" w:rsidRDefault="00AC6F50" w:rsidP="00C12716"/>
    <w:p w14:paraId="69975C90" w14:textId="59E3FD63" w:rsidR="00AC6F50" w:rsidRDefault="00AC6F50" w:rsidP="00C12716">
      <w:r>
        <w:t>At Kjernejournal har slike begrensninger gjør også at det må bygges opp parallelle tekniske løsninger for behov som ellers ville høre naturlig sammen med opplysningene som finnes i Kjernejournal, og disse må alle gjøre de samme avklaringene av dataansvar, behov for databehandleravtaler, og hvordan få alle aktørene i sektor til å ta løsningen i bruk. Det ville i de fleste tilfeller være langt mer rasjonelt, mindre kostbart, og langt mindre tidkrevende å bygge videre på Kjernejournal.</w:t>
      </w:r>
    </w:p>
    <w:p w14:paraId="5F0A8C0F" w14:textId="77777777" w:rsidR="00AC6F50" w:rsidRDefault="00AC6F50" w:rsidP="00C12716"/>
    <w:p w14:paraId="7DC2EB8F" w14:textId="77777777" w:rsidR="00874C01" w:rsidRDefault="00874C01" w:rsidP="00C12716">
      <w:r>
        <w:t>Eksemplene på slike reguleringer som i praksis skaper hindringer for digitalisering og samhandling er flere.</w:t>
      </w:r>
    </w:p>
    <w:p w14:paraId="0AC321C1" w14:textId="77777777" w:rsidR="00874C01" w:rsidRDefault="00874C01" w:rsidP="00C12716"/>
    <w:p w14:paraId="353CBEDA" w14:textId="0A0F2FE1" w:rsidR="00874C01" w:rsidRDefault="00874C01" w:rsidP="00C12716">
      <w:r>
        <w:lastRenderedPageBreak/>
        <w:t xml:space="preserve">Pasientjournalloven gir hjemmel til kjernejournalforskriften i sin </w:t>
      </w:r>
      <w:hyperlink r:id="rId13" w:history="1">
        <w:r w:rsidRPr="00874C01">
          <w:rPr>
            <w:rStyle w:val="Hyperkobling"/>
          </w:rPr>
          <w:t>§ 13</w:t>
        </w:r>
      </w:hyperlink>
      <w:r>
        <w:t>, der hovedregelen er at «</w:t>
      </w:r>
      <w:r w:rsidRPr="00874C01">
        <w:rPr>
          <w:i/>
          <w:iCs/>
        </w:rPr>
        <w:t>Helsepersonell med tjenstlig behov ved ytelse av helsehjelp kan etter samtykke fra den registrerte gis tilgang til nødvendige og relevante helseopplysninger fra nasjonal kjernejournal</w:t>
      </w:r>
      <w:r w:rsidRPr="00874C01">
        <w:t>.</w:t>
      </w:r>
      <w:r>
        <w:t xml:space="preserve">» Kjernejournalforskriften stiller så i sin </w:t>
      </w:r>
      <w:hyperlink r:id="rId14" w:history="1">
        <w:r w:rsidRPr="00874C01">
          <w:rPr>
            <w:rStyle w:val="Hyperkobling"/>
          </w:rPr>
          <w:t>§ 7</w:t>
        </w:r>
      </w:hyperlink>
      <w:r>
        <w:t xml:space="preserve"> opp en rekke med unntak fra kravet om samtykke for definerte grupper av helsepersonell. Konsekvensen av et generelt krav om samtykke med </w:t>
      </w:r>
      <w:r w:rsidR="005772B2">
        <w:t xml:space="preserve">enkelte </w:t>
      </w:r>
      <w:r>
        <w:t xml:space="preserve">unntak er at helsepersonell bruker tid og energi på å bekymre seg for hvorvidt de i en gitt situasjon har en rolle som faller inn under en av de definerte kategoriene (individualisert ansvar). Det gjør også at virksomhetene ikke kan innrette arbeidsfordeling og prosesser slik det er </w:t>
      </w:r>
      <w:proofErr w:type="gramStart"/>
      <w:r>
        <w:t>mest optimalt</w:t>
      </w:r>
      <w:proofErr w:type="gramEnd"/>
      <w:r>
        <w:t xml:space="preserve"> (et banalt eksempel kan være at en helsesekretær oppdaterer kontaktopplysninger etter </w:t>
      </w:r>
      <w:r w:rsidRPr="00874C01">
        <w:t>§</w:t>
      </w:r>
      <w:r>
        <w:t xml:space="preserve"> 4 nr. 2), og må i stor grad bygge inn konservative tilganger i sine digitale systemer (eg. at sykepleiere ikke kan ha tilgang til informasjon om legemidler etter </w:t>
      </w:r>
      <w:r w:rsidRPr="00874C01">
        <w:t>§</w:t>
      </w:r>
      <w:r>
        <w:t> 4 nr. 4).</w:t>
      </w:r>
    </w:p>
    <w:p w14:paraId="381C1F63" w14:textId="77777777" w:rsidR="005772B2" w:rsidRDefault="005772B2" w:rsidP="00C12716"/>
    <w:p w14:paraId="5B10B6BA" w14:textId="77777777" w:rsidR="005772B2" w:rsidRDefault="005772B2" w:rsidP="005772B2">
      <w:r>
        <w:t xml:space="preserve">Helse Nord er kjent med at departementet i sitt </w:t>
      </w:r>
      <w:hyperlink r:id="rId15" w:history="1">
        <w:r w:rsidRPr="005772B2">
          <w:rPr>
            <w:rStyle w:val="Hyperkobling"/>
          </w:rPr>
          <w:t>høringsnotat</w:t>
        </w:r>
      </w:hyperlink>
      <w:r>
        <w:t xml:space="preserve"> om </w:t>
      </w:r>
      <w:r w:rsidRPr="005772B2">
        <w:t>ny lov om det europeiske helsedataområdet</w:t>
      </w:r>
      <w:r>
        <w:t xml:space="preserve"> (EHDS) foreslår å oppheve samtykkekravet for Kjernejournal (notatets avsnitt 5.4.3.4). Dette oppfatter vi selvsagt som positivt. Samtidig fremstår det mer som en dyd av nødvendighet siden EHDS pålegger at slik tilgang skal være reservasjonsbasert (pasienter kan reservere seg mot eller sperre for tilgang) fremfor samtykkebasert.</w:t>
      </w:r>
    </w:p>
    <w:p w14:paraId="298C32C3" w14:textId="77777777" w:rsidR="005772B2" w:rsidRDefault="005772B2" w:rsidP="005772B2"/>
    <w:p w14:paraId="7E4EC6FE" w14:textId="2B3EF6BB" w:rsidR="005772B2" w:rsidRDefault="005772B2" w:rsidP="005772B2">
      <w:r>
        <w:t>Departementet signaliserer også i samme avsnitt at de vil «</w:t>
      </w:r>
      <w:r w:rsidRPr="005772B2">
        <w:rPr>
          <w:i/>
          <w:iCs/>
        </w:rPr>
        <w:t>vurdere om</w:t>
      </w:r>
      <w:r>
        <w:t xml:space="preserve"> [differensiert tilgangsstyring] </w:t>
      </w:r>
      <w:r w:rsidRPr="005772B2">
        <w:rPr>
          <w:i/>
          <w:iCs/>
        </w:rPr>
        <w:t>i tillegg til forordningens krav også bør reguleres nærmere i forskrift</w:t>
      </w:r>
      <w:r>
        <w:t xml:space="preserve">». En forskriftsfestet differensiert tilgangsstyring vil etter all sannsynlighet medføre at slike regler bygges inn som harde begrensninger i den sentrale tjenesten (Kjernejournal) slik at helsepersonell med et gitt </w:t>
      </w:r>
      <w:proofErr w:type="spellStart"/>
      <w:r>
        <w:t>tjenestelig</w:t>
      </w:r>
      <w:proofErr w:type="spellEnd"/>
      <w:r>
        <w:t xml:space="preserve"> behov kan «</w:t>
      </w:r>
      <w:r w:rsidRPr="005772B2">
        <w:rPr>
          <w:i/>
          <w:iCs/>
        </w:rPr>
        <w:t>se kritisk informasjon og oversikt over legemidler, men ikke for å se besøkshistorikk, referanser til ytterligere informasjon eller prøvesvar</w:t>
      </w:r>
      <w:r>
        <w:t>.» Departementet vurderer altså å reintrodusere den samme typen mekanisme som ligger i dagens lovverk, bare med en litt annen innretting, på en slik måte at f.eks. oppgavegliding og fordeling av oppgaver vil bli vanskeliggjort. Eksempelvis ved at å flytte en gitt behandlingsoppgave fra spesialisthelsetjenesten til kommunal helse- og omsorgstjeneste vil kreve forskriftsendring.</w:t>
      </w:r>
    </w:p>
    <w:p w14:paraId="467CD4E7" w14:textId="77777777" w:rsidR="00874C01" w:rsidRDefault="00874C01" w:rsidP="00C12716"/>
    <w:p w14:paraId="3125EF58" w14:textId="1DCB9F32" w:rsidR="00874C01" w:rsidRDefault="00874C01" w:rsidP="00C12716">
      <w:r>
        <w:t xml:space="preserve">Reseptformidlerforskriften angir i </w:t>
      </w:r>
      <w:hyperlink r:id="rId16" w:history="1">
        <w:r w:rsidRPr="00874C01">
          <w:rPr>
            <w:rStyle w:val="Hyperkobling"/>
          </w:rPr>
          <w:t>§ 6-1</w:t>
        </w:r>
      </w:hyperlink>
      <w:r>
        <w:t xml:space="preserve"> at opplysninger «…</w:t>
      </w:r>
      <w:r w:rsidRPr="00874C01">
        <w:t xml:space="preserve"> </w:t>
      </w:r>
      <w:r w:rsidRPr="00874C01">
        <w:rPr>
          <w:i/>
          <w:iCs/>
        </w:rPr>
        <w:t>skal slettes ved utløpet av reseptens gyldighetstid eller senest en måned etter at det ikke lenger kan utleveres legemidler … på resepten</w:t>
      </w:r>
      <w:r>
        <w:t xml:space="preserve">.» Dette medfører at personell som ikke har tilgang til Kjernejournal ikke har mulighet til å se legemiddelhistorikk på pasienten, kun aktive resepter, mens personell som faller innenfor et av de nevnte unntakene fra samtykkekravet kan få slik historikk gjennom en annen tjeneste. Denne særreguleringen av de forskjellige digitale løsningene fører også til at det finnes opplysninger om en pasients legemidler i parallell flere steder, som normalt ikke vil samsvare, og der forskjellig personell kan ende opp med å se forskjellige deler av helhetsbildet. Noen av disse utfordringene er allerede ryddet opp </w:t>
      </w:r>
      <w:proofErr w:type="gramStart"/>
      <w:r>
        <w:t>i gjennom</w:t>
      </w:r>
      <w:proofErr w:type="gramEnd"/>
      <w:r>
        <w:t xml:space="preserve"> lapping (mindre justeringer) på dagens lovverk, og flere forventes løst av Pasientens legemiddelliste, men det illustrer </w:t>
      </w:r>
      <w:r>
        <w:lastRenderedPageBreak/>
        <w:t>like fullt hvilke utfordringer utdaterte grunnantagelser og reaktive punktløsninger på enkeltproblemer skaper for digitalisering i helsetjenesten.</w:t>
      </w:r>
    </w:p>
    <w:p w14:paraId="4B742435" w14:textId="77777777" w:rsidR="00874C01" w:rsidRDefault="00874C01" w:rsidP="00C12716"/>
    <w:p w14:paraId="5F5C5AB6" w14:textId="552EB03D" w:rsidR="00874C01" w:rsidRDefault="00874C01" w:rsidP="00C12716">
      <w:r>
        <w:t xml:space="preserve">Det kan her være betimelig å sitere </w:t>
      </w:r>
      <w:r w:rsidR="001A5600">
        <w:t>professor Anne Kjersti</w:t>
      </w:r>
      <w:r>
        <w:t xml:space="preserve"> Befring i sitt </w:t>
      </w:r>
      <w:hyperlink r:id="rId17" w:history="1">
        <w:r w:rsidRPr="00874C01">
          <w:rPr>
            <w:rStyle w:val="Hyperkobling"/>
          </w:rPr>
          <w:t>notat til utvalget</w:t>
        </w:r>
      </w:hyperlink>
      <w:r>
        <w:t xml:space="preserve"> i etterkant av samtale </w:t>
      </w:r>
      <w:r w:rsidRPr="00874C01">
        <w:t>10. oktober 2025</w:t>
      </w:r>
      <w:r>
        <w:t>:</w:t>
      </w:r>
    </w:p>
    <w:p w14:paraId="2CC88FDC" w14:textId="77777777" w:rsidR="00874C01" w:rsidRDefault="00874C01" w:rsidP="00C12716"/>
    <w:p w14:paraId="0E19CD24" w14:textId="53988A35" w:rsidR="00874C01" w:rsidRPr="00874C01" w:rsidRDefault="00874C01" w:rsidP="00874C01">
      <w:pPr>
        <w:ind w:left="708"/>
        <w:rPr>
          <w:i/>
          <w:iCs/>
        </w:rPr>
      </w:pPr>
      <w:r w:rsidRPr="00874C01">
        <w:t>[Det er]</w:t>
      </w:r>
      <w:r w:rsidRPr="00874C01">
        <w:rPr>
          <w:i/>
          <w:iCs/>
        </w:rPr>
        <w:t xml:space="preserve"> utfordringer knyttet til at systemansvaret for forsvarlige</w:t>
      </w:r>
    </w:p>
    <w:p w14:paraId="2F04DA04" w14:textId="5C7D0DF0" w:rsidR="00874C01" w:rsidRPr="00874C01" w:rsidRDefault="00874C01" w:rsidP="003513CD">
      <w:pPr>
        <w:ind w:left="708"/>
        <w:rPr>
          <w:i/>
          <w:iCs/>
        </w:rPr>
      </w:pPr>
      <w:r w:rsidRPr="00874C01">
        <w:rPr>
          <w:i/>
          <w:iCs/>
        </w:rPr>
        <w:t>helsetjenester og databehandling (dataansvaret) ikke ses i sammenheng. Dette har ført</w:t>
      </w:r>
      <w:r>
        <w:rPr>
          <w:i/>
          <w:iCs/>
        </w:rPr>
        <w:t xml:space="preserve"> </w:t>
      </w:r>
      <w:r w:rsidR="003513CD" w:rsidRPr="003513CD">
        <w:t xml:space="preserve">[til] </w:t>
      </w:r>
      <w:r w:rsidRPr="00874C01">
        <w:rPr>
          <w:i/>
          <w:iCs/>
        </w:rPr>
        <w:t>svikt når det gjelder deling av helseopplysninger og at sykehusene har benyttet</w:t>
      </w:r>
      <w:r w:rsidR="003513CD">
        <w:rPr>
          <w:i/>
          <w:iCs/>
        </w:rPr>
        <w:t xml:space="preserve"> </w:t>
      </w:r>
      <w:r w:rsidRPr="00874C01">
        <w:rPr>
          <w:i/>
          <w:iCs/>
        </w:rPr>
        <w:t>omfattende ressurser til administrasjon av helsedata. Forsiktighetshensyn har også ført</w:t>
      </w:r>
      <w:r>
        <w:rPr>
          <w:i/>
          <w:iCs/>
        </w:rPr>
        <w:t xml:space="preserve"> </w:t>
      </w:r>
      <w:r w:rsidRPr="00874C01">
        <w:rPr>
          <w:i/>
          <w:iCs/>
        </w:rPr>
        <w:t>til at foretas såkalte DPIA uten at det er nødvendig, hver gang helsedata deles. Dette kan</w:t>
      </w:r>
      <w:r>
        <w:rPr>
          <w:i/>
          <w:iCs/>
        </w:rPr>
        <w:t xml:space="preserve"> </w:t>
      </w:r>
      <w:r w:rsidRPr="00874C01">
        <w:rPr>
          <w:i/>
          <w:iCs/>
        </w:rPr>
        <w:t>ha motsatt effekt enn forsiktighet ved at det legger beslag på ressurser som ellers kunne</w:t>
      </w:r>
      <w:r>
        <w:rPr>
          <w:i/>
          <w:iCs/>
        </w:rPr>
        <w:t xml:space="preserve"> </w:t>
      </w:r>
      <w:r w:rsidRPr="00874C01">
        <w:rPr>
          <w:i/>
          <w:iCs/>
        </w:rPr>
        <w:t xml:space="preserve">vært benyttet til pasientbehandling. Ved flere sykehus </w:t>
      </w:r>
      <w:r w:rsidRPr="00874C01">
        <w:t>[har]</w:t>
      </w:r>
      <w:r w:rsidRPr="00874C01">
        <w:rPr>
          <w:i/>
          <w:iCs/>
        </w:rPr>
        <w:t xml:space="preserve"> ikke ansvaret for beslutninger</w:t>
      </w:r>
      <w:r>
        <w:rPr>
          <w:i/>
          <w:iCs/>
        </w:rPr>
        <w:t xml:space="preserve"> </w:t>
      </w:r>
      <w:r w:rsidRPr="00874C01">
        <w:rPr>
          <w:i/>
          <w:iCs/>
        </w:rPr>
        <w:t>vært tydelig.</w:t>
      </w:r>
    </w:p>
    <w:p w14:paraId="0B1C97CA" w14:textId="77777777" w:rsidR="00874C01" w:rsidRPr="00874C01" w:rsidRDefault="00874C01" w:rsidP="00874C01">
      <w:pPr>
        <w:ind w:left="708"/>
        <w:rPr>
          <w:i/>
          <w:iCs/>
        </w:rPr>
      </w:pPr>
    </w:p>
    <w:p w14:paraId="682CA597" w14:textId="77777777" w:rsidR="00874C01" w:rsidRPr="00874C01" w:rsidRDefault="00874C01" w:rsidP="00874C01">
      <w:pPr>
        <w:ind w:left="708"/>
        <w:rPr>
          <w:i/>
          <w:iCs/>
        </w:rPr>
      </w:pPr>
      <w:r w:rsidRPr="00874C01">
        <w:rPr>
          <w:i/>
          <w:iCs/>
        </w:rPr>
        <w:t>Dette skyldes blant annet at det har vært en frykt for overtredelsesgebyrer fra</w:t>
      </w:r>
    </w:p>
    <w:p w14:paraId="13D97F67" w14:textId="77777777" w:rsidR="00874C01" w:rsidRPr="00874C01" w:rsidRDefault="00874C01" w:rsidP="00874C01">
      <w:pPr>
        <w:ind w:left="708"/>
        <w:rPr>
          <w:i/>
          <w:iCs/>
        </w:rPr>
      </w:pPr>
      <w:r w:rsidRPr="00874C01">
        <w:rPr>
          <w:i/>
          <w:iCs/>
        </w:rPr>
        <w:t>Datatilsynet.</w:t>
      </w:r>
    </w:p>
    <w:p w14:paraId="562EB720" w14:textId="77777777" w:rsidR="00874C01" w:rsidRPr="00874C01" w:rsidRDefault="00874C01" w:rsidP="00874C01">
      <w:pPr>
        <w:ind w:left="708"/>
        <w:rPr>
          <w:i/>
          <w:iCs/>
        </w:rPr>
      </w:pPr>
    </w:p>
    <w:p w14:paraId="1DA71B11" w14:textId="02428B64" w:rsidR="00874C01" w:rsidRPr="00874C01" w:rsidRDefault="00874C01" w:rsidP="00874C01">
      <w:pPr>
        <w:ind w:left="708"/>
        <w:rPr>
          <w:i/>
          <w:iCs/>
        </w:rPr>
      </w:pPr>
      <w:r w:rsidRPr="00874C01">
        <w:rPr>
          <w:i/>
          <w:iCs/>
        </w:rPr>
        <w:t>Da ny ledelse ved OUS valgte å bringe en avgjørelse inn for Personvernnemnda (PVN</w:t>
      </w:r>
      <w:r>
        <w:rPr>
          <w:i/>
          <w:iCs/>
        </w:rPr>
        <w:t xml:space="preserve"> </w:t>
      </w:r>
      <w:r w:rsidRPr="00874C01">
        <w:rPr>
          <w:i/>
          <w:iCs/>
        </w:rPr>
        <w:t>2021/21), ble disse sammenhengene tydeliggjort. PVN viste til helselovene som et</w:t>
      </w:r>
      <w:r>
        <w:rPr>
          <w:i/>
          <w:iCs/>
        </w:rPr>
        <w:t xml:space="preserve"> </w:t>
      </w:r>
      <w:r w:rsidRPr="00874C01">
        <w:rPr>
          <w:i/>
          <w:iCs/>
        </w:rPr>
        <w:t>supplerende grunnlag til GDPR for å behandle helsedata. Denne kunnskapen er i</w:t>
      </w:r>
      <w:r>
        <w:rPr>
          <w:i/>
          <w:iCs/>
        </w:rPr>
        <w:t xml:space="preserve"> </w:t>
      </w:r>
      <w:r w:rsidRPr="00874C01">
        <w:rPr>
          <w:i/>
          <w:iCs/>
        </w:rPr>
        <w:t xml:space="preserve">begrenset grad kjent, noe som fortsatt </w:t>
      </w:r>
      <w:r>
        <w:rPr>
          <w:i/>
          <w:iCs/>
        </w:rPr>
        <w:t>…</w:t>
      </w:r>
      <w:r w:rsidRPr="00874C01">
        <w:rPr>
          <w:i/>
          <w:iCs/>
        </w:rPr>
        <w:t xml:space="preserve"> påfører sykehusene unødvendige</w:t>
      </w:r>
    </w:p>
    <w:p w14:paraId="3AA4EE2B" w14:textId="2EC61D30" w:rsidR="00874C01" w:rsidRPr="00874C01" w:rsidRDefault="00874C01" w:rsidP="00874C01">
      <w:pPr>
        <w:ind w:left="708"/>
        <w:rPr>
          <w:i/>
          <w:iCs/>
        </w:rPr>
      </w:pPr>
      <w:r w:rsidRPr="00874C01">
        <w:rPr>
          <w:i/>
          <w:iCs/>
        </w:rPr>
        <w:t>kostnader og utfordringer med å dele data.</w:t>
      </w:r>
    </w:p>
    <w:p w14:paraId="329B6D20" w14:textId="77777777" w:rsidR="00874C01" w:rsidRDefault="00874C01" w:rsidP="00C12716"/>
    <w:p w14:paraId="3EC8B2AC" w14:textId="11B32960" w:rsidR="00874C01" w:rsidRDefault="00874C01" w:rsidP="00C12716">
      <w:r>
        <w:t xml:space="preserve">Helse Nord </w:t>
      </w:r>
      <w:r w:rsidR="00593B8B">
        <w:t>erfarer de</w:t>
      </w:r>
      <w:r>
        <w:t xml:space="preserve"> utfordringene som her omtales. </w:t>
      </w:r>
      <w:r w:rsidR="003513CD">
        <w:t>Over</w:t>
      </w:r>
      <w:r>
        <w:t>nasjonal lovgiving slik som personvernforordningen (GDPR) som setter rammer for eller påvirker den norske særlovgivingen som tangerer digitalisering av helsetjenesten har i for liten grad blitt sett i sammenheng med politiske målsettinger og samfunnets forventninger på området. Som Befring påpeker kan helselovgivingen</w:t>
      </w:r>
      <w:r w:rsidR="00AC6F50">
        <w:t>, fordi den utgjør et supplerende grunnlag etter personvernforordningen,</w:t>
      </w:r>
      <w:r>
        <w:t xml:space="preserve"> i stor grad påvirke i hvilken grad den enkelte aktør må bruke</w:t>
      </w:r>
      <w:r w:rsidR="00AC6F50">
        <w:t xml:space="preserve"> unødvendig</w:t>
      </w:r>
      <w:r>
        <w:t xml:space="preserve"> </w:t>
      </w:r>
      <w:r w:rsidR="00AC6F50">
        <w:t xml:space="preserve">tid og </w:t>
      </w:r>
      <w:r>
        <w:t>ressurser på hvert enkelt delingsscenario.</w:t>
      </w:r>
    </w:p>
    <w:p w14:paraId="20D76D69" w14:textId="77777777" w:rsidR="005772B2" w:rsidRDefault="005772B2" w:rsidP="00C12716"/>
    <w:p w14:paraId="1C939A68" w14:textId="472E6BB8" w:rsidR="00874C01" w:rsidRDefault="00874C01" w:rsidP="00C12716">
      <w:r>
        <w:t xml:space="preserve">En tilsvarende formulering av problemstillingen finnes i </w:t>
      </w:r>
      <w:hyperlink r:id="rId18" w:history="1">
        <w:r w:rsidRPr="00874C01">
          <w:rPr>
            <w:rStyle w:val="Hyperkobling"/>
          </w:rPr>
          <w:t>Health2Bs innspill til utvalget</w:t>
        </w:r>
      </w:hyperlink>
      <w:r>
        <w:t xml:space="preserve"> i etterkant av innspillmøte 25. februar 2026.</w:t>
      </w:r>
    </w:p>
    <w:p w14:paraId="4BC363FF" w14:textId="77777777" w:rsidR="00874C01" w:rsidRDefault="00874C01" w:rsidP="00C12716"/>
    <w:p w14:paraId="0DAC0BB1" w14:textId="6D638927" w:rsidR="00874C01" w:rsidRPr="00874C01" w:rsidRDefault="00874C01" w:rsidP="00874C01">
      <w:pPr>
        <w:ind w:left="708"/>
        <w:rPr>
          <w:i/>
          <w:iCs/>
        </w:rPr>
      </w:pPr>
      <w:r w:rsidRPr="00874C01">
        <w:rPr>
          <w:i/>
          <w:iCs/>
        </w:rPr>
        <w:t>Per i dag påligger det den enkelte kommune og det enkelte HF å gjøre personvernvurderingene, slik at en enkelt teknologi i praksis vurderes av 357 kommuner og 21 helseforetak, med liten grad av samarbeid. Nåværende Risiko og sårbarhetsanalyser (ROS) gjøres manuelt og er tidkrevende (100+ timer per evaluering), er feilutsatt og ikke kompatible med dynamiske digitale løsninger. …</w:t>
      </w:r>
    </w:p>
    <w:p w14:paraId="53B0D2DC" w14:textId="77777777" w:rsidR="00874C01" w:rsidRPr="00874C01" w:rsidRDefault="00874C01" w:rsidP="00874C01">
      <w:pPr>
        <w:ind w:left="708"/>
        <w:rPr>
          <w:i/>
          <w:iCs/>
        </w:rPr>
      </w:pPr>
    </w:p>
    <w:p w14:paraId="7658DE2E" w14:textId="739380DB" w:rsidR="00874C01" w:rsidRPr="00874C01" w:rsidRDefault="00874C01" w:rsidP="00874C01">
      <w:pPr>
        <w:ind w:left="708"/>
        <w:rPr>
          <w:i/>
          <w:iCs/>
          <w:u w:val="single"/>
        </w:rPr>
      </w:pPr>
      <w:r w:rsidRPr="00874C01">
        <w:rPr>
          <w:i/>
          <w:iCs/>
          <w:u w:val="single"/>
        </w:rPr>
        <w:t>Risikoen ved å dele data eller innføre ny teknologi veies i liten eller ingen grad opp mot risikoen ved å ikke dele data eller ikke innføre ny teknologi.</w:t>
      </w:r>
    </w:p>
    <w:p w14:paraId="1AD35192" w14:textId="5AE74B88" w:rsidR="00874C01" w:rsidRDefault="00874C01" w:rsidP="00C12716">
      <w:r>
        <w:lastRenderedPageBreak/>
        <w:t xml:space="preserve">(vår </w:t>
      </w:r>
      <w:r w:rsidRPr="00874C01">
        <w:rPr>
          <w:u w:val="single"/>
        </w:rPr>
        <w:t>utheving</w:t>
      </w:r>
      <w:r>
        <w:t>)</w:t>
      </w:r>
    </w:p>
    <w:p w14:paraId="1E090C78" w14:textId="77777777" w:rsidR="00874C01" w:rsidRDefault="00874C01" w:rsidP="00C12716"/>
    <w:p w14:paraId="0F4ABE1A" w14:textId="56E5A2ED" w:rsidR="00874C01" w:rsidRDefault="00874C01" w:rsidP="00C12716">
      <w:r>
        <w:t xml:space="preserve">Helse Nord er også enig i Befrings vurdering av at frykt for overtredelsesgebyrer fra tilsynsmyndighet </w:t>
      </w:r>
      <w:r w:rsidR="003B747A">
        <w:t xml:space="preserve">kan </w:t>
      </w:r>
      <w:r>
        <w:t>føre til en svært konservativ praktisering av regelverket.</w:t>
      </w:r>
    </w:p>
    <w:p w14:paraId="5AD33D5A" w14:textId="77777777" w:rsidR="00874C01" w:rsidRDefault="00874C01" w:rsidP="00C12716"/>
    <w:p w14:paraId="2C26B30A" w14:textId="1A0C1BBF" w:rsidR="00874C01" w:rsidRDefault="00874C01" w:rsidP="00C12716">
      <w:r>
        <w:t xml:space="preserve">Vi finner det derfor også betenkelig at </w:t>
      </w:r>
      <w:r w:rsidRPr="00874C01">
        <w:t>Digitaliserings- og forvaltningsdepartementet</w:t>
      </w:r>
      <w:r>
        <w:t xml:space="preserve"> i sitt høringsutkast til ny KI-lov valgte å åpne for muligheten til at også offentlige virksomheter kan ilegges overtredelsesgebyr etter KI-forordningen, til tross for at EU overlot dette spørsmålet til det enkelte medlemsland, og samtidig at det ikke skulle være noen foreldelsesfrist for slike overtredelser. All bruk av kunstig intelligens i pasientbehandling vil definisjonsmessig falle i kategorien «høy risiko» etter denne forordningen, med dertil hørende høye satser. Når overtredelsesgebyr så ilegges for hver enkelt overtredelse og aldri foreldes, og gebyret ikke kan unngås ved å rette opp i overtredelsen, betyr det at den økonomiske risikoen for f.eks. et lite sykehus eller en liten kommune bare akkumulerer og raskt kommer opp i beløp som er egnet til å avskrekke de globale teknologigigantene. Overtredelsesgebyrer er dermed en ren straff, og skal ha avskrekkende virkning (i.e. en «fartsbot»), og kommer som mekanisme i tillegg til at de definerte tilsynsmyndighetene kan ilegge tvangsmulkt for å sikre at virksomheter innretter seg etter pålegg. For ytterligere diskusjon av problemstillingen henviser vi til </w:t>
      </w:r>
      <w:hyperlink r:id="rId19" w:history="1">
        <w:r w:rsidRPr="00874C01">
          <w:rPr>
            <w:rStyle w:val="Hyperkobling"/>
          </w:rPr>
          <w:t>vårt høringssvar til ny KI-lov datert 30. september 2025</w:t>
        </w:r>
      </w:hyperlink>
      <w:r>
        <w:t>.</w:t>
      </w:r>
    </w:p>
    <w:p w14:paraId="26A9EBFB" w14:textId="77777777" w:rsidR="00874C01" w:rsidRDefault="00874C01" w:rsidP="00C12716"/>
    <w:p w14:paraId="0F85E06A" w14:textId="77777777" w:rsidR="00874C01" w:rsidRDefault="00874C01" w:rsidP="00C12716">
      <w:r>
        <w:t>En regulering som i større grad samsvarer med den aktuelle statsrådens uttalte ambisjoner</w:t>
      </w:r>
      <w:proofErr w:type="gramStart"/>
      <w:r>
        <w:t>—«</w:t>
      </w:r>
      <w:proofErr w:type="gramEnd"/>
      <w:r w:rsidRPr="00874C01">
        <w:rPr>
          <w:i/>
          <w:iCs/>
        </w:rPr>
        <w:t>Norge skal være verdens mest digitaliserte land innen 2030 og vi skal være i front på etisk og trygg bruk av KI. … Teknologien gir store muligheter for verdiskaping, bedre tjenester og økt produktivitet.</w:t>
      </w:r>
      <w:r>
        <w:t xml:space="preserve">»—ville i større grad lagt til rette for, snarere enn hindre, </w:t>
      </w:r>
      <w:proofErr w:type="spellStart"/>
      <w:r>
        <w:t>ibruktagelse</w:t>
      </w:r>
      <w:proofErr w:type="spellEnd"/>
      <w:r>
        <w:t xml:space="preserve"> av kunstig intelligens i helsesektoren.</w:t>
      </w:r>
    </w:p>
    <w:p w14:paraId="5B070102" w14:textId="77777777" w:rsidR="00874C01" w:rsidRDefault="00874C01" w:rsidP="00C12716"/>
    <w:p w14:paraId="4EA009D6" w14:textId="4ACA201C" w:rsidR="00874C01" w:rsidRDefault="00AC6F50" w:rsidP="00C12716">
      <w:r>
        <w:t>H</w:t>
      </w:r>
      <w:r w:rsidR="00874C01">
        <w:t xml:space="preserve">elsesektoren </w:t>
      </w:r>
      <w:r>
        <w:t xml:space="preserve">er som kjent </w:t>
      </w:r>
      <w:r w:rsidR="00874C01">
        <w:t xml:space="preserve">i utgangspunktet gjennomregulert. Helsepersonells virke reguleres av helsepersonelloven mv. med sine krav om taushetsplikt, autorisasjonsordninger, krav om faglig forsvarlighet, plassering av individuelt og virksomhetsansvar. Grunnprinsippene i f.eks. personvernforordningen vil alltid ligge til grunn og sikre tydelig ansvar, krav om sporbarhet, logging, autentiseringsmekanismer, osv. Lovverket for medisinsk utstyr (MDR) og </w:t>
      </w:r>
      <w:proofErr w:type="spellStart"/>
      <w:r w:rsidR="00874C01">
        <w:t>implanterbart</w:t>
      </w:r>
      <w:proofErr w:type="spellEnd"/>
      <w:r w:rsidR="00874C01">
        <w:t xml:space="preserve"> medisinsk utstyr (IVDR) inneholder krav til kategorisering, sertifisering, samsvarserklæringer, CE-godkjenning, mv. Og ikke minst sikrer både overnasjonal, nasjonal, og </w:t>
      </w:r>
      <w:proofErr w:type="spellStart"/>
      <w:r w:rsidR="00874C01">
        <w:t>sektorlovgiving</w:t>
      </w:r>
      <w:proofErr w:type="spellEnd"/>
      <w:r w:rsidR="00874C01">
        <w:t xml:space="preserve"> pasientens rettigheter gjennom innsyn i egne opplysninger, logg over hvem som har behandlet opplysninger, rett til å reservere seg mot behandling og deling av opplysninger (reservasjon og sperring), retting av evt. feilaktige opplysninger, mv.</w:t>
      </w:r>
      <w:r>
        <w:t xml:space="preserve">  </w:t>
      </w:r>
    </w:p>
    <w:p w14:paraId="20D754FB" w14:textId="77777777" w:rsidR="00874C01" w:rsidRDefault="00874C01" w:rsidP="00C12716"/>
    <w:p w14:paraId="66337D18" w14:textId="35A0DCCC" w:rsidR="00874C01" w:rsidRDefault="00874C01" w:rsidP="00C12716">
      <w:r>
        <w:t xml:space="preserve">Dersom målsettingen er at nødvendige opplysninger om pasienten skal være tilgjengelig for behandlende helsepersonell, at aktørene i helsetjenesten skal samhandle effektivt, og at pasienter og pårørende skal oppleve helhetlige og sammenhengende pasientforløp, så er det etter vårt syn et behov for å utforme </w:t>
      </w:r>
      <w:r w:rsidR="0076662F">
        <w:t>lovgivningen</w:t>
      </w:r>
      <w:r>
        <w:t xml:space="preserve"> slik at det legger til grunn og </w:t>
      </w:r>
      <w:r>
        <w:lastRenderedPageBreak/>
        <w:t>understøtter disse målsettingene gjennom å støtte seg på generelle og systemiske mekanismer i større grad enn detaljregulering og individualisert ansvar.</w:t>
      </w:r>
    </w:p>
    <w:p w14:paraId="54147278" w14:textId="77777777" w:rsidR="00874C01" w:rsidRDefault="00874C01" w:rsidP="00C12716"/>
    <w:p w14:paraId="35C9D89B" w14:textId="2C3F4CF7" w:rsidR="00874C01" w:rsidRDefault="00874C01" w:rsidP="00C12716">
      <w:r>
        <w:t xml:space="preserve">Til sist ønsker vi å løfte frem følgende sitat i innspill fra </w:t>
      </w:r>
      <w:proofErr w:type="spellStart"/>
      <w:r>
        <w:t>Dignio</w:t>
      </w:r>
      <w:proofErr w:type="spellEnd"/>
      <w:r>
        <w:t xml:space="preserve"> AS til utvalget i </w:t>
      </w:r>
      <w:hyperlink r:id="rId20" w:history="1">
        <w:r w:rsidRPr="00874C01">
          <w:rPr>
            <w:rStyle w:val="Hyperkobling"/>
          </w:rPr>
          <w:t>brev datert 16. januar 2026</w:t>
        </w:r>
      </w:hyperlink>
      <w:r>
        <w:t>:</w:t>
      </w:r>
    </w:p>
    <w:p w14:paraId="77835378" w14:textId="77777777" w:rsidR="00874C01" w:rsidRDefault="00874C01" w:rsidP="00C12716"/>
    <w:p w14:paraId="56A57D57" w14:textId="77777777" w:rsidR="00874C01" w:rsidRPr="00874C01" w:rsidRDefault="00874C01" w:rsidP="00874C01">
      <w:pPr>
        <w:ind w:left="708"/>
        <w:rPr>
          <w:i/>
          <w:iCs/>
        </w:rPr>
      </w:pPr>
      <w:r w:rsidRPr="00874C01">
        <w:rPr>
          <w:i/>
          <w:iCs/>
        </w:rPr>
        <w:t>Skal helsetjenesten bli bærekraftig, må vi tenke mer grunnleggende nytt om dagens</w:t>
      </w:r>
    </w:p>
    <w:p w14:paraId="613511F4" w14:textId="25B06284" w:rsidR="00874C01" w:rsidRPr="00874C01" w:rsidRDefault="00874C01" w:rsidP="00874C01">
      <w:pPr>
        <w:ind w:left="708"/>
        <w:rPr>
          <w:i/>
          <w:iCs/>
        </w:rPr>
      </w:pPr>
      <w:r w:rsidRPr="00874C01">
        <w:rPr>
          <w:i/>
          <w:iCs/>
        </w:rPr>
        <w:t>finansierings- og refusjonsordninger. I dag belønnes fysisk aktivitet og kontaktvolum, mens digitale tjenester som kan gi like god eller bedre medisinsk oppfølging, med mindre ressursbruk, ikke får tilsvarende insentiver. Det gir feil retning: man risikerer å “tape” på å jobbe smartere.</w:t>
      </w:r>
    </w:p>
    <w:p w14:paraId="3B16342E" w14:textId="77777777" w:rsidR="00874C01" w:rsidRPr="00874C01" w:rsidRDefault="00874C01" w:rsidP="00874C01">
      <w:pPr>
        <w:ind w:left="708"/>
        <w:rPr>
          <w:i/>
          <w:iCs/>
        </w:rPr>
      </w:pPr>
    </w:p>
    <w:p w14:paraId="1027645A" w14:textId="7D91F9A3" w:rsidR="00874C01" w:rsidRPr="00874C01" w:rsidRDefault="00874C01" w:rsidP="00874C01">
      <w:pPr>
        <w:ind w:left="708"/>
        <w:rPr>
          <w:i/>
          <w:iCs/>
        </w:rPr>
      </w:pPr>
      <w:r w:rsidRPr="00874C01">
        <w:rPr>
          <w:i/>
          <w:iCs/>
        </w:rPr>
        <w:t xml:space="preserve">DHO og andre former for digital oppfølging kan erstatte unødvendige kontroller, redusere behovet for polikliniske konsultasjoner og forebygge innleggelser, uten at kvalitet og pasientsikkerhet svekkes. Det bør derfor være mulig å organisere finansieringen slik at tjenestene </w:t>
      </w:r>
      <w:r w:rsidRPr="00874C01">
        <w:rPr>
          <w:b/>
          <w:bCs/>
          <w:i/>
          <w:iCs/>
        </w:rPr>
        <w:t>ikke straffes økonomisk for å unngå ekstra kontroller</w:t>
      </w:r>
      <w:r w:rsidRPr="00874C01">
        <w:rPr>
          <w:i/>
          <w:iCs/>
        </w:rPr>
        <w:t>, men tvert imot kan belønnes for riktig oppfølging på laveste effektive omsorgsnivå.</w:t>
      </w:r>
    </w:p>
    <w:p w14:paraId="45FD9EB0" w14:textId="77777777" w:rsidR="00874C01" w:rsidRDefault="00874C01" w:rsidP="00C12716"/>
    <w:p w14:paraId="2A4669C2" w14:textId="4CBCFFF3" w:rsidR="00874C01" w:rsidRDefault="00874C01" w:rsidP="00C12716">
      <w:r>
        <w:t xml:space="preserve">Det ligger stor </w:t>
      </w:r>
      <w:r w:rsidR="005772B2">
        <w:t>kraft</w:t>
      </w:r>
      <w:r>
        <w:t xml:space="preserve"> i finansieringsordningene, og eksemplet </w:t>
      </w:r>
      <w:proofErr w:type="spellStart"/>
      <w:r>
        <w:t>Dignio</w:t>
      </w:r>
      <w:proofErr w:type="spellEnd"/>
      <w:r>
        <w:t xml:space="preserve"> AS her løfter frem er et godt eksempel på at finansieringsordninger gir disinsentiver til det som er den ønskede utviklingen og skaper rammebetingelsene for suboptimalisering. En tilsvarende mekanisme kan for eksempel finnes i forbindelse med </w:t>
      </w:r>
      <w:proofErr w:type="spellStart"/>
      <w:r>
        <w:t>eBehandling</w:t>
      </w:r>
      <w:proofErr w:type="spellEnd"/>
      <w:r>
        <w:t xml:space="preserve">, der </w:t>
      </w:r>
      <w:r w:rsidR="00C35B7B">
        <w:t>finansieringen ikke er tilrettelagt for stedsuavhengige tilbud</w:t>
      </w:r>
      <w:r w:rsidR="00740C22">
        <w:t xml:space="preserve">. </w:t>
      </w:r>
      <w:r>
        <w:t xml:space="preserve">Dette gir et økonomisk insentiv til å tilby </w:t>
      </w:r>
      <w:r w:rsidR="00740C22">
        <w:t xml:space="preserve">egne </w:t>
      </w:r>
      <w:r>
        <w:t xml:space="preserve">pasienter </w:t>
      </w:r>
      <w:proofErr w:type="spellStart"/>
      <w:r>
        <w:t>eBehandlingsløsninger</w:t>
      </w:r>
      <w:proofErr w:type="spellEnd"/>
      <w:r>
        <w:t xml:space="preserve"> fremfor </w:t>
      </w:r>
      <w:r w:rsidR="00740C22">
        <w:t>å tilgjengeliggjøre effektiv digital behandling til et større interregionalt tilfang av pasienter</w:t>
      </w:r>
      <w:r>
        <w:t xml:space="preserve">. Tilgangen på </w:t>
      </w:r>
      <w:proofErr w:type="spellStart"/>
      <w:r>
        <w:t>eBehandling</w:t>
      </w:r>
      <w:proofErr w:type="spellEnd"/>
      <w:r>
        <w:t xml:space="preserve"> </w:t>
      </w:r>
      <w:r w:rsidR="00740C22">
        <w:t xml:space="preserve">er foreløpig </w:t>
      </w:r>
      <w:r>
        <w:t xml:space="preserve">geografisk betinget (til tross for at løsningen er digital), og helsetjenestens ressurser brukes på </w:t>
      </w:r>
      <w:r w:rsidR="00740C22">
        <w:t xml:space="preserve">å opprette </w:t>
      </w:r>
      <w:r>
        <w:t xml:space="preserve">parallelle </w:t>
      </w:r>
      <w:r w:rsidR="00740C22">
        <w:t xml:space="preserve">lokale og regionale </w:t>
      </w:r>
      <w:r>
        <w:t>løsninger frem for allment tilgjengelige nasjonale løsninger.</w:t>
      </w:r>
    </w:p>
    <w:p w14:paraId="47ABCCE7" w14:textId="77777777" w:rsidR="00874C01" w:rsidRDefault="00874C01" w:rsidP="00C12716"/>
    <w:p w14:paraId="3140FA9D" w14:textId="10AED3B8" w:rsidR="00874C01" w:rsidRDefault="00874C01" w:rsidP="00C12716">
      <w:r>
        <w:t xml:space="preserve">Dersom finansieringsordninger skal gi insentiver til en ønsket </w:t>
      </w:r>
      <w:r w:rsidRPr="00874C01">
        <w:rPr>
          <w:i/>
          <w:iCs/>
        </w:rPr>
        <w:t>endring</w:t>
      </w:r>
      <w:r>
        <w:t xml:space="preserve"> (mer digital behandling, mer digital </w:t>
      </w:r>
      <w:proofErr w:type="spellStart"/>
      <w:r>
        <w:t>hjemmeoppfølging</w:t>
      </w:r>
      <w:proofErr w:type="spellEnd"/>
      <w:r>
        <w:t xml:space="preserve">, mer samhandling) heller enn disinsentiver så bør de utformes med nettopp å </w:t>
      </w:r>
      <w:r w:rsidRPr="00874C01">
        <w:rPr>
          <w:i/>
          <w:iCs/>
        </w:rPr>
        <w:t>skape insentiver og å fjerne disinsentiver</w:t>
      </w:r>
      <w:r>
        <w:t xml:space="preserve"> som et primært hensyn. Når formålet er å </w:t>
      </w:r>
      <w:r w:rsidRPr="00874C01">
        <w:rPr>
          <w:i/>
          <w:iCs/>
        </w:rPr>
        <w:t>endre</w:t>
      </w:r>
      <w:r>
        <w:t xml:space="preserve"> praksis er dette et mer tungtveiende hensyn enn frykten for at f.eks. en takst skal bli «for generøs».</w:t>
      </w:r>
      <w:r w:rsidR="00740C22">
        <w:t xml:space="preserve"> </w:t>
      </w:r>
    </w:p>
    <w:p w14:paraId="0E67FF88" w14:textId="77777777" w:rsidR="00874C01" w:rsidRDefault="00874C01" w:rsidP="00C12716"/>
    <w:p w14:paraId="38EF756F" w14:textId="19EBD642" w:rsidR="00874C01" w:rsidRDefault="00874C01" w:rsidP="00C12716">
      <w:r>
        <w:t xml:space="preserve">Uten at vi her kan stille oss bak alle de konkrete løsningene </w:t>
      </w:r>
      <w:proofErr w:type="spellStart"/>
      <w:r>
        <w:t>Dignio</w:t>
      </w:r>
      <w:proofErr w:type="spellEnd"/>
      <w:r>
        <w:t xml:space="preserve"> AS i sitt innspill foreslår, deler vi deres vurdering av at finansieringsordningene bør gjennomgås med tanke på å som et minimum unngå å gi negativ økonomisk effekt av ønskede handlinger, og fortrinnsvis også skape insentiver gjennom positive økonomiske effekter, for den enkelte virksomhet. Her er det særlig viktig at bruk av digitale verktøy og samarbeid om den samme pasienten </w:t>
      </w:r>
      <w:proofErr w:type="spellStart"/>
      <w:r>
        <w:t>insentiveres</w:t>
      </w:r>
      <w:proofErr w:type="spellEnd"/>
      <w:r w:rsidR="00E4252E">
        <w:t>.</w:t>
      </w:r>
    </w:p>
    <w:p w14:paraId="07D6F194" w14:textId="77777777" w:rsidR="00874C01" w:rsidRDefault="00874C01" w:rsidP="00C12716"/>
    <w:p w14:paraId="7F69FD25" w14:textId="77777777" w:rsidR="00BF3D13" w:rsidRDefault="00BF3D13" w:rsidP="00C12716"/>
    <w:p w14:paraId="3DF4F628" w14:textId="7063EF55" w:rsidR="00BF3D13" w:rsidRDefault="00BF3D13" w:rsidP="00C12716">
      <w:r>
        <w:t xml:space="preserve">Oppsummert er Helse Nords perspektiv at det </w:t>
      </w:r>
      <w:r w:rsidR="00AA7DAF">
        <w:t>er behov</w:t>
      </w:r>
      <w:r w:rsidR="0085011C">
        <w:t xml:space="preserve"> for</w:t>
      </w:r>
      <w:r>
        <w:t xml:space="preserve"> en større gjennomgang av </w:t>
      </w:r>
      <w:r w:rsidR="00AC6F50">
        <w:t xml:space="preserve">lovverket som regulerer </w:t>
      </w:r>
      <w:r>
        <w:t>digitalisering</w:t>
      </w:r>
      <w:r w:rsidR="00AC6F50">
        <w:t xml:space="preserve"> av helsesektoren</w:t>
      </w:r>
      <w:r>
        <w:t xml:space="preserve"> med særlig </w:t>
      </w:r>
      <w:proofErr w:type="gramStart"/>
      <w:r>
        <w:t>fokus</w:t>
      </w:r>
      <w:proofErr w:type="gramEnd"/>
      <w:r>
        <w:t xml:space="preserve"> på å understøtte utviklingen som er ønsket politisk og av samfunnet, å utnytte nasjonalt handlingsrom i </w:t>
      </w:r>
      <w:r w:rsidR="003513CD">
        <w:t>over</w:t>
      </w:r>
      <w:r>
        <w:t>nasjonal lovgiving til dette, og å innrette økonomiske insentiver slik at de i større grad tilrettelegger for samhandling og helhetlige pasientforløp.</w:t>
      </w:r>
    </w:p>
    <w:p w14:paraId="54C4C66F" w14:textId="77777777" w:rsidR="005772B2" w:rsidRDefault="005772B2" w:rsidP="00C12716"/>
    <w:p w14:paraId="63EFDE27" w14:textId="79FA9EDA" w:rsidR="005772B2" w:rsidRDefault="005772B2" w:rsidP="00C12716">
      <w:r>
        <w:t>Uavhengig av hvorvidt dagens lovverk rent juridisk er til hinder for den ene eller den andre konkrete digitaliserings- eller samhandlingsløsning</w:t>
      </w:r>
      <w:r w:rsidR="0014325B">
        <w:t>,</w:t>
      </w:r>
      <w:r>
        <w:t xml:space="preserve"> er det en kjensgjerning at summen av </w:t>
      </w:r>
      <w:r w:rsidR="00AC6F50">
        <w:t xml:space="preserve">reguleringene på området og hvordan de er utformet </w:t>
      </w:r>
      <w:r>
        <w:t xml:space="preserve">fører til at digitaliserings- og samhandlingsprosjekter bruker en betydelig mengde med tid og ressurser på </w:t>
      </w:r>
      <w:r w:rsidR="00FD6940">
        <w:t>avklaringer</w:t>
      </w:r>
      <w:r>
        <w:t xml:space="preserve"> </w:t>
      </w:r>
      <w:r w:rsidR="00AC6F50">
        <w:t xml:space="preserve">av </w:t>
      </w:r>
      <w:r>
        <w:t>hva som er lov</w:t>
      </w:r>
      <w:r w:rsidR="000D398E">
        <w:t>lig behandling av helseopplysninger</w:t>
      </w:r>
      <w:r>
        <w:t>, i stedet for å realisere ambisjonene om effektiv utnyttelse av helsesektorens totale ressurser, bedre kvalitet i pasientbehandlingen, og mer sammenhengende pasientforløp.</w:t>
      </w:r>
    </w:p>
    <w:p w14:paraId="5D29182A" w14:textId="77777777" w:rsidR="00874C01" w:rsidRDefault="00874C01" w:rsidP="00C12716"/>
    <w:p w14:paraId="0E12944D" w14:textId="77777777" w:rsidR="00C12716" w:rsidRDefault="00C12716" w:rsidP="00C12716"/>
    <w:p w14:paraId="79CFFAC7" w14:textId="77777777" w:rsidR="00C12716" w:rsidRDefault="00C12716" w:rsidP="00C12716"/>
    <w:p w14:paraId="3AD495F6" w14:textId="77777777" w:rsidR="00F91EE8" w:rsidRDefault="00F91EE8" w:rsidP="00F91EE8">
      <w:r>
        <w:t>Vennlig hilsen</w:t>
      </w:r>
    </w:p>
    <w:p w14:paraId="0889C6FA" w14:textId="77777777" w:rsidR="00F91EE8" w:rsidRDefault="00F91EE8" w:rsidP="00F91EE8"/>
    <w:p w14:paraId="28A318AC" w14:textId="260EEBA5" w:rsidR="00F91EE8" w:rsidRDefault="00EF66C9" w:rsidP="00F91EE8">
      <w:r>
        <w:t>Hilde Rolandsen</w:t>
      </w:r>
    </w:p>
    <w:p w14:paraId="42777B41" w14:textId="58163BDF" w:rsidR="00EF66C9" w:rsidRDefault="00EF66C9" w:rsidP="00F91EE8">
      <w:r>
        <w:t>Eierdirektør</w:t>
      </w:r>
    </w:p>
    <w:p w14:paraId="13F64CA3" w14:textId="77777777" w:rsidR="00F91EE8" w:rsidRDefault="00F91EE8" w:rsidP="00F91EE8">
      <w:bookmarkStart w:id="14" w:name="SAKSBEHANDLERNAVN"/>
      <w:bookmarkEnd w:id="14"/>
    </w:p>
    <w:p w14:paraId="6AE6CDFF" w14:textId="77777777" w:rsidR="00F91EE8" w:rsidRDefault="00F91EE8" w:rsidP="00F91EE8">
      <w:bookmarkStart w:id="15" w:name="SAKSBEHANDLERSTILLING"/>
      <w:bookmarkEnd w:id="15"/>
    </w:p>
    <w:p w14:paraId="3379A619" w14:textId="77777777" w:rsidR="00F91EE8" w:rsidRDefault="00F91EE8" w:rsidP="00F91EE8"/>
    <w:p w14:paraId="5CE5EDAA" w14:textId="77777777" w:rsidR="00F91EE8" w:rsidRDefault="00F91EE8" w:rsidP="00F91EE8"/>
    <w:p w14:paraId="7BDB71C3" w14:textId="77777777" w:rsidR="00F91EE8" w:rsidRDefault="00F91EE8" w:rsidP="00F91EE8">
      <w:pPr>
        <w:rPr>
          <w:i/>
          <w:iCs/>
          <w:sz w:val="20"/>
          <w:szCs w:val="20"/>
        </w:rPr>
      </w:pPr>
      <w:r>
        <w:rPr>
          <w:i/>
          <w:iCs/>
          <w:sz w:val="20"/>
          <w:szCs w:val="20"/>
        </w:rPr>
        <w:t>Dokumentet er elektronisk godkjent og kan derfor være uten signatur</w:t>
      </w:r>
    </w:p>
    <w:p w14:paraId="2CA85255" w14:textId="77777777" w:rsidR="00F91EE8" w:rsidRDefault="00F91EE8" w:rsidP="00F91EE8"/>
    <w:p w14:paraId="506B5088" w14:textId="77777777" w:rsidR="00F91EE8" w:rsidRDefault="00F91EE8" w:rsidP="00F91EE8">
      <w:bookmarkStart w:id="16" w:name="Vedlegg"/>
      <w:bookmarkEnd w:id="16"/>
    </w:p>
    <w:p w14:paraId="0EB22BA7" w14:textId="77777777" w:rsidR="00B201FA" w:rsidRDefault="00B201FA" w:rsidP="00F91EE8"/>
    <w:p w14:paraId="3D4A2C7B" w14:textId="437239E2" w:rsidR="00B201FA" w:rsidRDefault="00B201FA" w:rsidP="00F91EE8">
      <w:r>
        <w:t>Kopi;</w:t>
      </w:r>
    </w:p>
    <w:p w14:paraId="36151C43" w14:textId="722EC0DF" w:rsidR="00B201FA" w:rsidRDefault="00B201FA" w:rsidP="00F91EE8">
      <w:r>
        <w:t>Adm. direktør M. Lind, her</w:t>
      </w:r>
    </w:p>
    <w:p w14:paraId="371A8DA0" w14:textId="4996F9FE" w:rsidR="00B201FA" w:rsidRDefault="00B201FA" w:rsidP="00F91EE8">
      <w:r>
        <w:t>Seksjonsleder digitalisering og IKT, Bengt F. Nilsfors, her</w:t>
      </w:r>
    </w:p>
    <w:p w14:paraId="3FFD6073" w14:textId="77777777" w:rsidR="00F91EE8" w:rsidRDefault="00F91EE8" w:rsidP="00F91EE8">
      <w:bookmarkStart w:id="17" w:name="EKSTERNEKOPITILTABELL"/>
      <w:bookmarkEnd w:id="17"/>
    </w:p>
    <w:p w14:paraId="7669FCF5" w14:textId="77777777" w:rsidR="00F91EE8" w:rsidRPr="00FA716A" w:rsidRDefault="00F91EE8" w:rsidP="00F91EE8">
      <w:bookmarkStart w:id="18" w:name="INTERNKOPITILTABELL"/>
      <w:bookmarkEnd w:id="18"/>
    </w:p>
    <w:p w14:paraId="5B1A3365" w14:textId="77777777" w:rsidR="00B912BA" w:rsidRPr="00093717" w:rsidRDefault="00B912BA" w:rsidP="00093717"/>
    <w:sectPr w:rsidR="00B912BA" w:rsidRPr="00093717" w:rsidSect="00A76CCD">
      <w:footerReference w:type="default" r:id="rId21"/>
      <w:headerReference w:type="first" r:id="rId22"/>
      <w:footerReference w:type="first" r:id="rId23"/>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4C2802" w14:textId="77777777" w:rsidR="002234E4" w:rsidRDefault="002234E4" w:rsidP="00A76CCD">
      <w:pPr>
        <w:spacing w:line="240" w:lineRule="auto"/>
      </w:pPr>
      <w:r>
        <w:separator/>
      </w:r>
    </w:p>
  </w:endnote>
  <w:endnote w:type="continuationSeparator" w:id="0">
    <w:p w14:paraId="019325D8" w14:textId="77777777" w:rsidR="002234E4" w:rsidRDefault="002234E4" w:rsidP="00A76CC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73120520"/>
      <w:docPartObj>
        <w:docPartGallery w:val="Page Numbers (Bottom of Page)"/>
        <w:docPartUnique/>
      </w:docPartObj>
    </w:sdtPr>
    <w:sdtEndPr/>
    <w:sdtContent>
      <w:p w14:paraId="2359CE48" w14:textId="77777777" w:rsidR="005463DF" w:rsidRDefault="007604A5">
        <w:pPr>
          <w:pStyle w:val="Bunntekst"/>
          <w:jc w:val="center"/>
        </w:pPr>
        <w:r>
          <w:fldChar w:fldCharType="begin"/>
        </w:r>
        <w:r>
          <w:instrText xml:space="preserve"> PAGE   \* MERGEFORMAT </w:instrText>
        </w:r>
        <w:r>
          <w:fldChar w:fldCharType="separate"/>
        </w:r>
        <w:r>
          <w:rPr>
            <w:noProof/>
          </w:rPr>
          <w:t>3</w:t>
        </w:r>
        <w:r>
          <w:rPr>
            <w:noProof/>
          </w:rPr>
          <w:fldChar w:fldCharType="end"/>
        </w:r>
      </w:p>
    </w:sdtContent>
  </w:sdt>
  <w:p w14:paraId="474B6311" w14:textId="77777777" w:rsidR="005463DF" w:rsidRDefault="005463DF">
    <w:pPr>
      <w:pStyle w:val="Bunn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8A2DEF" w14:textId="77777777" w:rsidR="00DB3D9D" w:rsidRDefault="00DB3D9D" w:rsidP="00FD6E40">
    <w:pPr>
      <w:tabs>
        <w:tab w:val="left" w:pos="1985"/>
        <w:tab w:val="left" w:pos="3969"/>
        <w:tab w:val="left" w:pos="7371"/>
      </w:tabs>
      <w:rPr>
        <w:sz w:val="16"/>
        <w:szCs w:val="16"/>
        <w:lang w:eastAsia="nb-NO"/>
      </w:rPr>
    </w:pPr>
  </w:p>
  <w:p w14:paraId="1F10D79C" w14:textId="77777777" w:rsidR="00FD6E40" w:rsidRPr="007D12DF" w:rsidRDefault="00FD6E40" w:rsidP="00FD6E40">
    <w:pPr>
      <w:tabs>
        <w:tab w:val="left" w:pos="1985"/>
        <w:tab w:val="left" w:pos="3969"/>
        <w:tab w:val="left" w:pos="7371"/>
      </w:tabs>
      <w:rPr>
        <w:b/>
        <w:sz w:val="16"/>
        <w:szCs w:val="16"/>
        <w:lang w:eastAsia="nb-NO"/>
      </w:rPr>
    </w:pPr>
    <w:r w:rsidRPr="007D12DF">
      <w:rPr>
        <w:sz w:val="16"/>
        <w:szCs w:val="16"/>
        <w:lang w:eastAsia="nb-NO"/>
      </w:rPr>
      <w:t>Postadresse</w:t>
    </w:r>
    <w:r w:rsidR="006978E6">
      <w:rPr>
        <w:sz w:val="16"/>
        <w:szCs w:val="16"/>
        <w:lang w:eastAsia="nb-NO"/>
      </w:rPr>
      <w:t>:</w:t>
    </w:r>
    <w:r w:rsidRPr="007D12DF">
      <w:rPr>
        <w:b/>
        <w:sz w:val="16"/>
        <w:szCs w:val="16"/>
        <w:lang w:eastAsia="nb-NO"/>
      </w:rPr>
      <w:tab/>
    </w:r>
    <w:r w:rsidRPr="007D12DF">
      <w:rPr>
        <w:sz w:val="16"/>
        <w:szCs w:val="16"/>
        <w:lang w:eastAsia="nb-NO"/>
      </w:rPr>
      <w:t>Besøksadresse</w:t>
    </w:r>
    <w:r w:rsidR="006978E6">
      <w:rPr>
        <w:sz w:val="16"/>
        <w:szCs w:val="16"/>
        <w:lang w:eastAsia="nb-NO"/>
      </w:rPr>
      <w:t>:</w:t>
    </w:r>
    <w:r w:rsidRPr="007D12DF">
      <w:rPr>
        <w:sz w:val="16"/>
        <w:szCs w:val="16"/>
        <w:lang w:eastAsia="nb-NO"/>
      </w:rPr>
      <w:tab/>
      <w:t>Telefon sentralbord: 75 51 29 00</w:t>
    </w:r>
    <w:r>
      <w:rPr>
        <w:sz w:val="16"/>
        <w:szCs w:val="16"/>
        <w:lang w:eastAsia="nb-NO"/>
      </w:rPr>
      <w:t xml:space="preserve">                               </w:t>
    </w:r>
    <w:r w:rsidRPr="007D12DF">
      <w:rPr>
        <w:sz w:val="16"/>
        <w:szCs w:val="16"/>
        <w:lang w:eastAsia="nb-NO"/>
      </w:rPr>
      <w:t xml:space="preserve">Org </w:t>
    </w:r>
    <w:proofErr w:type="spellStart"/>
    <w:r w:rsidRPr="007D12DF">
      <w:rPr>
        <w:sz w:val="16"/>
        <w:szCs w:val="16"/>
        <w:lang w:eastAsia="nb-NO"/>
      </w:rPr>
      <w:t>nr</w:t>
    </w:r>
    <w:proofErr w:type="spellEnd"/>
    <w:r w:rsidRPr="007D12DF">
      <w:rPr>
        <w:sz w:val="16"/>
        <w:szCs w:val="16"/>
        <w:lang w:eastAsia="nb-NO"/>
      </w:rPr>
      <w:t>:</w:t>
    </w:r>
    <w:r w:rsidRPr="007D12DF">
      <w:rPr>
        <w:sz w:val="16"/>
        <w:szCs w:val="16"/>
        <w:lang w:val="sv-SE" w:eastAsia="nb-NO"/>
      </w:rPr>
      <w:t xml:space="preserve"> MVA 883 658 </w:t>
    </w:r>
    <w:r>
      <w:rPr>
        <w:sz w:val="16"/>
        <w:szCs w:val="16"/>
        <w:lang w:val="sv-SE" w:eastAsia="nb-NO"/>
      </w:rPr>
      <w:t>752</w:t>
    </w:r>
  </w:p>
  <w:p w14:paraId="642C2E79" w14:textId="77777777" w:rsidR="00FD6E40" w:rsidRPr="007D12DF" w:rsidRDefault="00FD6E40" w:rsidP="00FD6E40">
    <w:pPr>
      <w:tabs>
        <w:tab w:val="left" w:pos="1985"/>
        <w:tab w:val="left" w:pos="3969"/>
        <w:tab w:val="left" w:pos="7371"/>
      </w:tabs>
      <w:rPr>
        <w:sz w:val="16"/>
        <w:szCs w:val="16"/>
        <w:lang w:eastAsia="nb-NO"/>
      </w:rPr>
    </w:pPr>
    <w:r w:rsidRPr="007D12DF">
      <w:rPr>
        <w:sz w:val="16"/>
        <w:szCs w:val="16"/>
        <w:lang w:eastAsia="nb-NO"/>
      </w:rPr>
      <w:t>Helse Nord RHF</w:t>
    </w:r>
    <w:r w:rsidRPr="007D12DF">
      <w:rPr>
        <w:sz w:val="16"/>
        <w:szCs w:val="16"/>
        <w:lang w:eastAsia="nb-NO"/>
      </w:rPr>
      <w:tab/>
      <w:t>Helse Nord RHF</w:t>
    </w:r>
  </w:p>
  <w:p w14:paraId="0DFFB7A5" w14:textId="77777777" w:rsidR="00FD6E40" w:rsidRPr="007D12DF" w:rsidRDefault="00FD6E40" w:rsidP="00FD6E40">
    <w:pPr>
      <w:tabs>
        <w:tab w:val="left" w:pos="1985"/>
        <w:tab w:val="left" w:pos="3969"/>
        <w:tab w:val="left" w:pos="7371"/>
      </w:tabs>
      <w:rPr>
        <w:sz w:val="16"/>
        <w:szCs w:val="16"/>
        <w:lang w:eastAsia="nb-NO"/>
      </w:rPr>
    </w:pPr>
    <w:r w:rsidRPr="007D12DF">
      <w:rPr>
        <w:sz w:val="16"/>
        <w:szCs w:val="16"/>
        <w:lang w:eastAsia="nb-NO"/>
      </w:rPr>
      <w:t>Postboks 1445</w:t>
    </w:r>
    <w:r w:rsidRPr="007D12DF">
      <w:rPr>
        <w:sz w:val="16"/>
        <w:szCs w:val="16"/>
        <w:lang w:eastAsia="nb-NO"/>
      </w:rPr>
      <w:tab/>
    </w:r>
    <w:r w:rsidR="00696F69">
      <w:rPr>
        <w:sz w:val="16"/>
        <w:szCs w:val="16"/>
        <w:lang w:eastAsia="nb-NO"/>
      </w:rPr>
      <w:t>Moloveien 16</w:t>
    </w:r>
    <w:r w:rsidRPr="007D12DF">
      <w:rPr>
        <w:sz w:val="16"/>
        <w:szCs w:val="16"/>
        <w:lang w:eastAsia="nb-NO"/>
      </w:rPr>
      <w:t xml:space="preserve">, </w:t>
    </w:r>
    <w:r w:rsidR="00696F69">
      <w:rPr>
        <w:sz w:val="16"/>
        <w:szCs w:val="16"/>
        <w:lang w:eastAsia="nb-NO"/>
      </w:rPr>
      <w:t>6</w:t>
    </w:r>
    <w:r w:rsidRPr="007D12DF">
      <w:rPr>
        <w:sz w:val="16"/>
        <w:szCs w:val="16"/>
        <w:lang w:eastAsia="nb-NO"/>
      </w:rPr>
      <w:t xml:space="preserve"> et</w:t>
    </w:r>
    <w:r w:rsidR="006978E6">
      <w:rPr>
        <w:sz w:val="16"/>
        <w:szCs w:val="16"/>
        <w:lang w:eastAsia="nb-NO"/>
      </w:rPr>
      <w:t>.</w:t>
    </w:r>
    <w:r w:rsidR="006978E6">
      <w:rPr>
        <w:sz w:val="16"/>
        <w:szCs w:val="16"/>
        <w:lang w:eastAsia="nb-NO"/>
      </w:rPr>
      <w:tab/>
    </w:r>
    <w:hyperlink r:id="rId1" w:history="1">
      <w:r w:rsidRPr="007D12DF">
        <w:rPr>
          <w:color w:val="0000FF"/>
          <w:sz w:val="16"/>
          <w:szCs w:val="16"/>
          <w:u w:val="single"/>
          <w:lang w:eastAsia="nb-NO"/>
        </w:rPr>
        <w:t>postmottak@helse-nord.no</w:t>
      </w:r>
    </w:hyperlink>
  </w:p>
  <w:p w14:paraId="2634E6B2" w14:textId="77777777" w:rsidR="00FD6E40" w:rsidRPr="007D12DF" w:rsidRDefault="00FD6E40" w:rsidP="00FD6E40">
    <w:pPr>
      <w:tabs>
        <w:tab w:val="left" w:pos="1985"/>
        <w:tab w:val="left" w:pos="3969"/>
        <w:tab w:val="left" w:pos="7371"/>
      </w:tabs>
      <w:rPr>
        <w:sz w:val="16"/>
        <w:szCs w:val="16"/>
        <w:lang w:eastAsia="nb-NO"/>
      </w:rPr>
    </w:pPr>
    <w:r w:rsidRPr="007D12DF">
      <w:rPr>
        <w:sz w:val="16"/>
        <w:szCs w:val="16"/>
        <w:lang w:eastAsia="nb-NO"/>
      </w:rPr>
      <w:t>8038 Bodø</w:t>
    </w:r>
    <w:r w:rsidRPr="007D12DF">
      <w:rPr>
        <w:sz w:val="16"/>
        <w:szCs w:val="16"/>
        <w:lang w:eastAsia="nb-NO"/>
      </w:rPr>
      <w:tab/>
      <w:t>800</w:t>
    </w:r>
    <w:r w:rsidR="00696F69">
      <w:rPr>
        <w:sz w:val="16"/>
        <w:szCs w:val="16"/>
        <w:lang w:eastAsia="nb-NO"/>
      </w:rPr>
      <w:t>3</w:t>
    </w:r>
    <w:r w:rsidRPr="007D12DF">
      <w:rPr>
        <w:sz w:val="16"/>
        <w:szCs w:val="16"/>
        <w:lang w:eastAsia="nb-NO"/>
      </w:rPr>
      <w:t xml:space="preserve"> Bodø</w:t>
    </w:r>
    <w:r w:rsidRPr="007D12DF">
      <w:rPr>
        <w:sz w:val="16"/>
        <w:szCs w:val="16"/>
        <w:lang w:eastAsia="nb-NO"/>
      </w:rPr>
      <w:tab/>
    </w:r>
    <w:hyperlink r:id="rId2" w:history="1">
      <w:r w:rsidRPr="007D12DF">
        <w:rPr>
          <w:color w:val="0000FF"/>
          <w:sz w:val="16"/>
          <w:szCs w:val="16"/>
          <w:u w:val="single"/>
          <w:lang w:eastAsia="nb-NO"/>
        </w:rPr>
        <w:t>www.helse-nord.no</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6F9D2D" w14:textId="77777777" w:rsidR="002234E4" w:rsidRDefault="002234E4" w:rsidP="00A76CCD">
      <w:pPr>
        <w:spacing w:line="240" w:lineRule="auto"/>
      </w:pPr>
      <w:r>
        <w:separator/>
      </w:r>
    </w:p>
  </w:footnote>
  <w:footnote w:type="continuationSeparator" w:id="0">
    <w:p w14:paraId="68C6662F" w14:textId="77777777" w:rsidR="002234E4" w:rsidRDefault="002234E4" w:rsidP="00A76CCD">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3F068C" w14:textId="77777777" w:rsidR="00E13BFD" w:rsidRDefault="00980AAE" w:rsidP="0061781E">
    <w:pPr>
      <w:pStyle w:val="Topptekst"/>
    </w:pPr>
    <w:r>
      <w:rPr>
        <w:noProof/>
      </w:rPr>
      <w:drawing>
        <wp:inline distT="0" distB="0" distL="0" distR="0" wp14:anchorId="443A0BC2" wp14:editId="01E1EB05">
          <wp:extent cx="3810000" cy="441960"/>
          <wp:effectExtent l="0" t="0" r="0" b="15240"/>
          <wp:docPr id="5" name="Bild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3810000" cy="441960"/>
                  </a:xfrm>
                  <a:prstGeom prst="rect">
                    <a:avLst/>
                  </a:prstGeom>
                  <a:noFill/>
                  <a:ln>
                    <a:noFill/>
                  </a:ln>
                </pic:spPr>
              </pic:pic>
            </a:graphicData>
          </a:graphic>
        </wp:inline>
      </w:drawing>
    </w:r>
    <w:r w:rsidR="0061781E">
      <w:tab/>
    </w:r>
  </w:p>
  <w:p w14:paraId="41EAF789" w14:textId="77777777" w:rsidR="00E13BFD" w:rsidRDefault="00E13BFD">
    <w:pPr>
      <w:pStyle w:val="Topptekst"/>
    </w:pPr>
  </w:p>
  <w:p w14:paraId="6E2711F7" w14:textId="77777777" w:rsidR="00E13BFD" w:rsidRDefault="0061781E" w:rsidP="005839E6">
    <w:pPr>
      <w:pStyle w:val="Topptekst"/>
      <w:jc w:val="right"/>
    </w:pPr>
    <w:bookmarkStart w:id="19" w:name="UoffParagraf"/>
    <w:bookmarkEnd w:id="19"/>
    <w:r>
      <w:rPr>
        <w:noProof/>
        <w:lang w:eastAsia="nb-NO"/>
      </w:rPr>
      <w:drawing>
        <wp:anchor distT="0" distB="0" distL="114300" distR="114300" simplePos="0" relativeHeight="251659264" behindDoc="1" locked="0" layoutInCell="1" allowOverlap="1" wp14:anchorId="5301D49D" wp14:editId="084674EA">
          <wp:simplePos x="0" y="0"/>
          <wp:positionH relativeFrom="column">
            <wp:posOffset>4241800</wp:posOffset>
          </wp:positionH>
          <wp:positionV relativeFrom="paragraph">
            <wp:posOffset>93980</wp:posOffset>
          </wp:positionV>
          <wp:extent cx="4136390" cy="4136390"/>
          <wp:effectExtent l="0" t="0" r="3810" b="3810"/>
          <wp:wrapNone/>
          <wp:docPr id="3" name="Bild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ikker_nord_til wordmal.eps"/>
                  <pic:cNvPicPr/>
                </pic:nvPicPr>
                <pic:blipFill>
                  <a:blip r:embed="rId3">
                    <a:alphaModFix amt="50000"/>
                    <a:extLst>
                      <a:ext uri="{28A0092B-C50C-407E-A947-70E740481C1C}">
                        <a14:useLocalDpi xmlns:a14="http://schemas.microsoft.com/office/drawing/2010/main" val="0"/>
                      </a:ext>
                    </a:extLst>
                  </a:blip>
                  <a:stretch>
                    <a:fillRect/>
                  </a:stretch>
                </pic:blipFill>
                <pic:spPr>
                  <a:xfrm>
                    <a:off x="0" y="0"/>
                    <a:ext cx="4136390" cy="4136390"/>
                  </a:xfrm>
                  <a:prstGeom prst="rect">
                    <a:avLst/>
                  </a:prstGeom>
                  <a:extLst>
                    <a:ext uri="{FAA26D3D-D897-4be2-8F04-BA451C77F1D7}">
                      <ma14:placeholderFlag xmlns:ve="http://schemas.openxmlformats.org/markup-compatibility/2006"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pic:spPr>
              </pic:pic>
            </a:graphicData>
          </a:graphic>
        </wp:anchor>
      </w:drawing>
    </w:r>
  </w:p>
  <w:p w14:paraId="6BE930B5" w14:textId="77777777" w:rsidR="00E13BFD" w:rsidRDefault="00E13BFD">
    <w:pPr>
      <w:pStyle w:val="Top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E86E96"/>
    <w:multiLevelType w:val="hybridMultilevel"/>
    <w:tmpl w:val="6820219A"/>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 w15:restartNumberingAfterBreak="0">
    <w:nsid w:val="0C1827FA"/>
    <w:multiLevelType w:val="hybridMultilevel"/>
    <w:tmpl w:val="C16029B2"/>
    <w:lvl w:ilvl="0" w:tplc="0BB6A8C4">
      <w:start w:val="1"/>
      <w:numFmt w:val="decimal"/>
      <w:lvlText w:val="%1."/>
      <w:lvlJc w:val="left"/>
      <w:pPr>
        <w:ind w:left="720" w:hanging="360"/>
      </w:pPr>
      <w:rPr>
        <w:rFonts w:ascii="Cambria" w:hAnsi="Cambria" w:hint="default"/>
        <w:b w:val="0"/>
        <w:i w:val="0"/>
        <w:sz w:val="24"/>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 w15:restartNumberingAfterBreak="0">
    <w:nsid w:val="106C259A"/>
    <w:multiLevelType w:val="hybridMultilevel"/>
    <w:tmpl w:val="0B984708"/>
    <w:lvl w:ilvl="0" w:tplc="0414000F">
      <w:start w:val="1"/>
      <w:numFmt w:val="decimal"/>
      <w:lvlText w:val="%1."/>
      <w:lvlJc w:val="left"/>
      <w:pPr>
        <w:tabs>
          <w:tab w:val="num" w:pos="785"/>
        </w:tabs>
        <w:ind w:left="785" w:hanging="360"/>
      </w:pPr>
    </w:lvl>
    <w:lvl w:ilvl="1" w:tplc="04140019" w:tentative="1">
      <w:start w:val="1"/>
      <w:numFmt w:val="lowerLetter"/>
      <w:lvlText w:val="%2."/>
      <w:lvlJc w:val="left"/>
      <w:pPr>
        <w:tabs>
          <w:tab w:val="num" w:pos="1505"/>
        </w:tabs>
        <w:ind w:left="1505" w:hanging="360"/>
      </w:pPr>
    </w:lvl>
    <w:lvl w:ilvl="2" w:tplc="0414001B" w:tentative="1">
      <w:start w:val="1"/>
      <w:numFmt w:val="lowerRoman"/>
      <w:lvlText w:val="%3."/>
      <w:lvlJc w:val="right"/>
      <w:pPr>
        <w:tabs>
          <w:tab w:val="num" w:pos="2225"/>
        </w:tabs>
        <w:ind w:left="2225" w:hanging="180"/>
      </w:pPr>
    </w:lvl>
    <w:lvl w:ilvl="3" w:tplc="0414000F" w:tentative="1">
      <w:start w:val="1"/>
      <w:numFmt w:val="decimal"/>
      <w:lvlText w:val="%4."/>
      <w:lvlJc w:val="left"/>
      <w:pPr>
        <w:tabs>
          <w:tab w:val="num" w:pos="2945"/>
        </w:tabs>
        <w:ind w:left="2945" w:hanging="360"/>
      </w:pPr>
    </w:lvl>
    <w:lvl w:ilvl="4" w:tplc="04140019" w:tentative="1">
      <w:start w:val="1"/>
      <w:numFmt w:val="lowerLetter"/>
      <w:lvlText w:val="%5."/>
      <w:lvlJc w:val="left"/>
      <w:pPr>
        <w:tabs>
          <w:tab w:val="num" w:pos="3665"/>
        </w:tabs>
        <w:ind w:left="3665" w:hanging="360"/>
      </w:pPr>
    </w:lvl>
    <w:lvl w:ilvl="5" w:tplc="0414001B" w:tentative="1">
      <w:start w:val="1"/>
      <w:numFmt w:val="lowerRoman"/>
      <w:lvlText w:val="%6."/>
      <w:lvlJc w:val="right"/>
      <w:pPr>
        <w:tabs>
          <w:tab w:val="num" w:pos="4385"/>
        </w:tabs>
        <w:ind w:left="4385" w:hanging="180"/>
      </w:pPr>
    </w:lvl>
    <w:lvl w:ilvl="6" w:tplc="0414000F" w:tentative="1">
      <w:start w:val="1"/>
      <w:numFmt w:val="decimal"/>
      <w:lvlText w:val="%7."/>
      <w:lvlJc w:val="left"/>
      <w:pPr>
        <w:tabs>
          <w:tab w:val="num" w:pos="5105"/>
        </w:tabs>
        <w:ind w:left="5105" w:hanging="360"/>
      </w:pPr>
    </w:lvl>
    <w:lvl w:ilvl="7" w:tplc="04140019" w:tentative="1">
      <w:start w:val="1"/>
      <w:numFmt w:val="lowerLetter"/>
      <w:lvlText w:val="%8."/>
      <w:lvlJc w:val="left"/>
      <w:pPr>
        <w:tabs>
          <w:tab w:val="num" w:pos="5825"/>
        </w:tabs>
        <w:ind w:left="5825" w:hanging="360"/>
      </w:pPr>
    </w:lvl>
    <w:lvl w:ilvl="8" w:tplc="0414001B" w:tentative="1">
      <w:start w:val="1"/>
      <w:numFmt w:val="lowerRoman"/>
      <w:lvlText w:val="%9."/>
      <w:lvlJc w:val="right"/>
      <w:pPr>
        <w:tabs>
          <w:tab w:val="num" w:pos="6545"/>
        </w:tabs>
        <w:ind w:left="6545" w:hanging="180"/>
      </w:pPr>
    </w:lvl>
  </w:abstractNum>
  <w:abstractNum w:abstractNumId="3" w15:restartNumberingAfterBreak="0">
    <w:nsid w:val="16770E81"/>
    <w:multiLevelType w:val="hybridMultilevel"/>
    <w:tmpl w:val="4DC4BFB8"/>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4" w15:restartNumberingAfterBreak="0">
    <w:nsid w:val="180825FB"/>
    <w:multiLevelType w:val="hybridMultilevel"/>
    <w:tmpl w:val="A33CE496"/>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5" w15:restartNumberingAfterBreak="0">
    <w:nsid w:val="201277A7"/>
    <w:multiLevelType w:val="hybridMultilevel"/>
    <w:tmpl w:val="45961B70"/>
    <w:lvl w:ilvl="0" w:tplc="0BB6A8C4">
      <w:start w:val="1"/>
      <w:numFmt w:val="decimal"/>
      <w:lvlText w:val="%1."/>
      <w:lvlJc w:val="left"/>
      <w:pPr>
        <w:ind w:left="720" w:hanging="360"/>
      </w:pPr>
      <w:rPr>
        <w:rFonts w:ascii="Cambria" w:hAnsi="Cambria" w:hint="default"/>
        <w:b w:val="0"/>
        <w:i w:val="0"/>
        <w:sz w:val="24"/>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6" w15:restartNumberingAfterBreak="0">
    <w:nsid w:val="273C5FD5"/>
    <w:multiLevelType w:val="hybridMultilevel"/>
    <w:tmpl w:val="79345832"/>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7" w15:restartNumberingAfterBreak="0">
    <w:nsid w:val="28A80288"/>
    <w:multiLevelType w:val="hybridMultilevel"/>
    <w:tmpl w:val="A4E47184"/>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8" w15:restartNumberingAfterBreak="0">
    <w:nsid w:val="33CA13F1"/>
    <w:multiLevelType w:val="multilevel"/>
    <w:tmpl w:val="7B40B780"/>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9" w15:restartNumberingAfterBreak="0">
    <w:nsid w:val="49061D01"/>
    <w:multiLevelType w:val="hybridMultilevel"/>
    <w:tmpl w:val="EE14FC18"/>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0" w15:restartNumberingAfterBreak="0">
    <w:nsid w:val="5E313BAD"/>
    <w:multiLevelType w:val="hybridMultilevel"/>
    <w:tmpl w:val="38963CEC"/>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1" w15:restartNumberingAfterBreak="0">
    <w:nsid w:val="634B7E99"/>
    <w:multiLevelType w:val="hybridMultilevel"/>
    <w:tmpl w:val="316ED1B8"/>
    <w:lvl w:ilvl="0" w:tplc="0414000F">
      <w:start w:val="1"/>
      <w:numFmt w:val="decimal"/>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2" w15:restartNumberingAfterBreak="0">
    <w:nsid w:val="765E3CDD"/>
    <w:multiLevelType w:val="hybridMultilevel"/>
    <w:tmpl w:val="AA68C62C"/>
    <w:lvl w:ilvl="0" w:tplc="04140001">
      <w:start w:val="1"/>
      <w:numFmt w:val="bullet"/>
      <w:lvlText w:val=""/>
      <w:lvlJc w:val="left"/>
      <w:pPr>
        <w:ind w:left="720" w:hanging="360"/>
      </w:pPr>
      <w:rPr>
        <w:rFonts w:ascii="Symbol" w:hAnsi="Symbol"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3" w15:restartNumberingAfterBreak="0">
    <w:nsid w:val="77E4368F"/>
    <w:multiLevelType w:val="multilevel"/>
    <w:tmpl w:val="CAE07E40"/>
    <w:lvl w:ilvl="0">
      <w:start w:val="1"/>
      <w:numFmt w:val="decimal"/>
      <w:lvlText w:val="%1."/>
      <w:lvlJc w:val="left"/>
      <w:pPr>
        <w:ind w:left="432" w:hanging="432"/>
      </w:pPr>
      <w:rPr>
        <w:b w:val="0"/>
        <w:bCs w:val="0"/>
        <w:i w:val="0"/>
        <w:iCs w:val="0"/>
        <w:caps w:val="0"/>
        <w:smallCaps w:val="0"/>
        <w:strike w:val="0"/>
        <w:dstrike w:val="0"/>
        <w:noProof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pStyle w:val="Overskrift6"/>
      <w:lvlText w:val="%1.%2.%3.%4.%5.%6"/>
      <w:lvlJc w:val="left"/>
      <w:pPr>
        <w:ind w:left="1152" w:hanging="1152"/>
      </w:pPr>
    </w:lvl>
    <w:lvl w:ilvl="6">
      <w:start w:val="1"/>
      <w:numFmt w:val="decimal"/>
      <w:pStyle w:val="Overskrift7"/>
      <w:lvlText w:val="%1.%2.%3.%4.%5.%6.%7"/>
      <w:lvlJc w:val="left"/>
      <w:pPr>
        <w:ind w:left="1296" w:hanging="1296"/>
      </w:pPr>
    </w:lvl>
    <w:lvl w:ilvl="7">
      <w:start w:val="1"/>
      <w:numFmt w:val="decimal"/>
      <w:pStyle w:val="Overskrift8"/>
      <w:lvlText w:val="%1.%2.%3.%4.%5.%6.%7.%8"/>
      <w:lvlJc w:val="left"/>
      <w:pPr>
        <w:ind w:left="1440" w:hanging="1440"/>
      </w:pPr>
    </w:lvl>
    <w:lvl w:ilvl="8">
      <w:start w:val="1"/>
      <w:numFmt w:val="decimal"/>
      <w:pStyle w:val="Overskrift9"/>
      <w:lvlText w:val="%1.%2.%3.%4.%5.%6.%7.%8.%9"/>
      <w:lvlJc w:val="left"/>
      <w:pPr>
        <w:ind w:left="1584" w:hanging="1584"/>
      </w:pPr>
    </w:lvl>
  </w:abstractNum>
  <w:abstractNum w:abstractNumId="14" w15:restartNumberingAfterBreak="0">
    <w:nsid w:val="7F745487"/>
    <w:multiLevelType w:val="hybridMultilevel"/>
    <w:tmpl w:val="29143518"/>
    <w:lvl w:ilvl="0" w:tplc="0BB6A8C4">
      <w:start w:val="1"/>
      <w:numFmt w:val="decimal"/>
      <w:lvlText w:val="%1."/>
      <w:lvlJc w:val="left"/>
      <w:pPr>
        <w:ind w:left="720" w:hanging="360"/>
      </w:pPr>
      <w:rPr>
        <w:rFonts w:ascii="Cambria" w:hAnsi="Cambria" w:hint="default"/>
        <w:b w:val="0"/>
        <w:i w:val="0"/>
        <w:sz w:val="24"/>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num w:numId="1" w16cid:durableId="797644722">
    <w:abstractNumId w:val="8"/>
  </w:num>
  <w:num w:numId="2" w16cid:durableId="892084703">
    <w:abstractNumId w:val="13"/>
  </w:num>
  <w:num w:numId="3" w16cid:durableId="1326863304">
    <w:abstractNumId w:val="13"/>
  </w:num>
  <w:num w:numId="4" w16cid:durableId="121921172">
    <w:abstractNumId w:val="13"/>
  </w:num>
  <w:num w:numId="5" w16cid:durableId="791630569">
    <w:abstractNumId w:val="2"/>
  </w:num>
  <w:num w:numId="6" w16cid:durableId="1876502012">
    <w:abstractNumId w:val="9"/>
  </w:num>
  <w:num w:numId="7" w16cid:durableId="804809511">
    <w:abstractNumId w:val="0"/>
  </w:num>
  <w:num w:numId="8" w16cid:durableId="1488672012">
    <w:abstractNumId w:val="7"/>
  </w:num>
  <w:num w:numId="9" w16cid:durableId="32971307">
    <w:abstractNumId w:val="3"/>
  </w:num>
  <w:num w:numId="10" w16cid:durableId="470756226">
    <w:abstractNumId w:val="4"/>
  </w:num>
  <w:num w:numId="11" w16cid:durableId="1481769257">
    <w:abstractNumId w:val="10"/>
  </w:num>
  <w:num w:numId="12" w16cid:durableId="946158477">
    <w:abstractNumId w:val="6"/>
  </w:num>
  <w:num w:numId="13" w16cid:durableId="596183205">
    <w:abstractNumId w:val="14"/>
  </w:num>
  <w:num w:numId="14" w16cid:durableId="286934169">
    <w:abstractNumId w:val="5"/>
  </w:num>
  <w:num w:numId="15" w16cid:durableId="814033065">
    <w:abstractNumId w:val="1"/>
  </w:num>
  <w:num w:numId="16" w16cid:durableId="960964722">
    <w:abstractNumId w:val="11"/>
  </w:num>
  <w:num w:numId="17" w16cid:durableId="182750362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4"/>
  <w:proofState w:spelling="clean" w:grammar="clean"/>
  <w:defaultTabStop w:val="708"/>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4C01"/>
    <w:rsid w:val="000036FB"/>
    <w:rsid w:val="00020D03"/>
    <w:rsid w:val="00026C03"/>
    <w:rsid w:val="00037552"/>
    <w:rsid w:val="00084C11"/>
    <w:rsid w:val="00093717"/>
    <w:rsid w:val="00094821"/>
    <w:rsid w:val="000D398E"/>
    <w:rsid w:val="000F0571"/>
    <w:rsid w:val="001209C2"/>
    <w:rsid w:val="00137E5E"/>
    <w:rsid w:val="0014325B"/>
    <w:rsid w:val="001626AE"/>
    <w:rsid w:val="001661C3"/>
    <w:rsid w:val="001A5600"/>
    <w:rsid w:val="001C7299"/>
    <w:rsid w:val="001D2417"/>
    <w:rsid w:val="001D2BA3"/>
    <w:rsid w:val="001F5B4F"/>
    <w:rsid w:val="002234E4"/>
    <w:rsid w:val="00232480"/>
    <w:rsid w:val="00242BF9"/>
    <w:rsid w:val="00245735"/>
    <w:rsid w:val="00280291"/>
    <w:rsid w:val="002B02E0"/>
    <w:rsid w:val="002E1F02"/>
    <w:rsid w:val="002E4DCE"/>
    <w:rsid w:val="002E7A35"/>
    <w:rsid w:val="002F71B5"/>
    <w:rsid w:val="002F730D"/>
    <w:rsid w:val="00306C2A"/>
    <w:rsid w:val="003513CD"/>
    <w:rsid w:val="00356CF0"/>
    <w:rsid w:val="00367FCD"/>
    <w:rsid w:val="00380B1D"/>
    <w:rsid w:val="003918BA"/>
    <w:rsid w:val="00394D54"/>
    <w:rsid w:val="003A5EAC"/>
    <w:rsid w:val="003B747A"/>
    <w:rsid w:val="003E2AE6"/>
    <w:rsid w:val="003F4712"/>
    <w:rsid w:val="00425729"/>
    <w:rsid w:val="0043290B"/>
    <w:rsid w:val="0043421E"/>
    <w:rsid w:val="00446E16"/>
    <w:rsid w:val="00475F99"/>
    <w:rsid w:val="004D2256"/>
    <w:rsid w:val="005020C8"/>
    <w:rsid w:val="00510286"/>
    <w:rsid w:val="005148DE"/>
    <w:rsid w:val="00535366"/>
    <w:rsid w:val="005463DF"/>
    <w:rsid w:val="0057240B"/>
    <w:rsid w:val="005735E2"/>
    <w:rsid w:val="005772B2"/>
    <w:rsid w:val="005839E6"/>
    <w:rsid w:val="00593B8B"/>
    <w:rsid w:val="005B48DA"/>
    <w:rsid w:val="005C0448"/>
    <w:rsid w:val="005C4FA5"/>
    <w:rsid w:val="005F6326"/>
    <w:rsid w:val="0061781E"/>
    <w:rsid w:val="006262D5"/>
    <w:rsid w:val="00634821"/>
    <w:rsid w:val="00674CF8"/>
    <w:rsid w:val="006758BE"/>
    <w:rsid w:val="006927F8"/>
    <w:rsid w:val="00696F69"/>
    <w:rsid w:val="006978E6"/>
    <w:rsid w:val="006D2285"/>
    <w:rsid w:val="006D7AB2"/>
    <w:rsid w:val="00701C40"/>
    <w:rsid w:val="0070540C"/>
    <w:rsid w:val="007365D6"/>
    <w:rsid w:val="00740C22"/>
    <w:rsid w:val="007604A5"/>
    <w:rsid w:val="0076662F"/>
    <w:rsid w:val="00776710"/>
    <w:rsid w:val="007B20AD"/>
    <w:rsid w:val="007C60F6"/>
    <w:rsid w:val="007D3384"/>
    <w:rsid w:val="007F317B"/>
    <w:rsid w:val="008205E9"/>
    <w:rsid w:val="0085011C"/>
    <w:rsid w:val="008547B8"/>
    <w:rsid w:val="00860A0A"/>
    <w:rsid w:val="00874C01"/>
    <w:rsid w:val="008A3A70"/>
    <w:rsid w:val="008A45BF"/>
    <w:rsid w:val="008B1A63"/>
    <w:rsid w:val="008E48E8"/>
    <w:rsid w:val="008F02F9"/>
    <w:rsid w:val="00902044"/>
    <w:rsid w:val="00904524"/>
    <w:rsid w:val="00915A74"/>
    <w:rsid w:val="009254FE"/>
    <w:rsid w:val="00925E87"/>
    <w:rsid w:val="009267C9"/>
    <w:rsid w:val="0094238C"/>
    <w:rsid w:val="00957926"/>
    <w:rsid w:val="00980AAE"/>
    <w:rsid w:val="00986399"/>
    <w:rsid w:val="009C32DA"/>
    <w:rsid w:val="009E321D"/>
    <w:rsid w:val="009F31E0"/>
    <w:rsid w:val="00A51039"/>
    <w:rsid w:val="00A76CCD"/>
    <w:rsid w:val="00A86E5F"/>
    <w:rsid w:val="00A94297"/>
    <w:rsid w:val="00AA7DAF"/>
    <w:rsid w:val="00AC2376"/>
    <w:rsid w:val="00AC2A48"/>
    <w:rsid w:val="00AC6F50"/>
    <w:rsid w:val="00AF5050"/>
    <w:rsid w:val="00B03759"/>
    <w:rsid w:val="00B04961"/>
    <w:rsid w:val="00B117C7"/>
    <w:rsid w:val="00B15435"/>
    <w:rsid w:val="00B201FA"/>
    <w:rsid w:val="00B22D5B"/>
    <w:rsid w:val="00B4760E"/>
    <w:rsid w:val="00B64194"/>
    <w:rsid w:val="00B912BA"/>
    <w:rsid w:val="00BD4DAC"/>
    <w:rsid w:val="00BE559B"/>
    <w:rsid w:val="00BF3D13"/>
    <w:rsid w:val="00C0644D"/>
    <w:rsid w:val="00C12716"/>
    <w:rsid w:val="00C201AE"/>
    <w:rsid w:val="00C2740E"/>
    <w:rsid w:val="00C30D2D"/>
    <w:rsid w:val="00C31634"/>
    <w:rsid w:val="00C35B7B"/>
    <w:rsid w:val="00C62EAA"/>
    <w:rsid w:val="00CB484A"/>
    <w:rsid w:val="00CD08E6"/>
    <w:rsid w:val="00CD76EC"/>
    <w:rsid w:val="00CD77CE"/>
    <w:rsid w:val="00D12CEB"/>
    <w:rsid w:val="00D420BA"/>
    <w:rsid w:val="00D7484D"/>
    <w:rsid w:val="00D91BC0"/>
    <w:rsid w:val="00DA7BA4"/>
    <w:rsid w:val="00DB3D9D"/>
    <w:rsid w:val="00DC60BE"/>
    <w:rsid w:val="00DD2D50"/>
    <w:rsid w:val="00DE2362"/>
    <w:rsid w:val="00E0069F"/>
    <w:rsid w:val="00E13BFD"/>
    <w:rsid w:val="00E16897"/>
    <w:rsid w:val="00E22B1A"/>
    <w:rsid w:val="00E22B74"/>
    <w:rsid w:val="00E22C38"/>
    <w:rsid w:val="00E4252E"/>
    <w:rsid w:val="00E516A3"/>
    <w:rsid w:val="00E91900"/>
    <w:rsid w:val="00E952F5"/>
    <w:rsid w:val="00EC3652"/>
    <w:rsid w:val="00ED4B41"/>
    <w:rsid w:val="00EF66C9"/>
    <w:rsid w:val="00F01E4C"/>
    <w:rsid w:val="00F44FFC"/>
    <w:rsid w:val="00F71362"/>
    <w:rsid w:val="00F91EE8"/>
    <w:rsid w:val="00F96EC9"/>
    <w:rsid w:val="00FA716A"/>
    <w:rsid w:val="00FC5261"/>
    <w:rsid w:val="00FC5E8D"/>
    <w:rsid w:val="00FD6940"/>
    <w:rsid w:val="00FD6E40"/>
    <w:rsid w:val="00FE1AE4"/>
    <w:rsid w:val="00FF0275"/>
    <w:rsid w:val="00FF4315"/>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D4D108"/>
  <w15:docId w15:val="{E7910DB2-BB86-9F4F-9D06-6FA2B81EC2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b-N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0644D"/>
    <w:pPr>
      <w:spacing w:after="0"/>
    </w:pPr>
    <w:rPr>
      <w:rFonts w:ascii="Cambria" w:hAnsi="Cambria"/>
      <w:sz w:val="24"/>
      <w:szCs w:val="24"/>
    </w:rPr>
  </w:style>
  <w:style w:type="paragraph" w:styleId="Overskrift1">
    <w:name w:val="heading 1"/>
    <w:basedOn w:val="Normal"/>
    <w:next w:val="Normal"/>
    <w:link w:val="Overskrift1Tegn"/>
    <w:uiPriority w:val="9"/>
    <w:qFormat/>
    <w:rsid w:val="00FA716A"/>
    <w:pPr>
      <w:keepNext/>
      <w:keepLines/>
      <w:spacing w:before="480"/>
      <w:outlineLvl w:val="0"/>
    </w:pPr>
    <w:rPr>
      <w:rFonts w:eastAsiaTheme="majorEastAsia" w:cstheme="majorBidi"/>
      <w:b/>
      <w:bCs/>
      <w:sz w:val="28"/>
      <w:szCs w:val="32"/>
    </w:rPr>
  </w:style>
  <w:style w:type="paragraph" w:styleId="Overskrift2">
    <w:name w:val="heading 2"/>
    <w:basedOn w:val="Normal"/>
    <w:next w:val="Normal"/>
    <w:link w:val="Overskrift2Tegn"/>
    <w:uiPriority w:val="9"/>
    <w:unhideWhenUsed/>
    <w:qFormat/>
    <w:rsid w:val="00FA716A"/>
    <w:pPr>
      <w:keepNext/>
      <w:keepLines/>
      <w:spacing w:before="200"/>
      <w:outlineLvl w:val="1"/>
    </w:pPr>
    <w:rPr>
      <w:rFonts w:eastAsiaTheme="majorEastAsia" w:cstheme="majorBidi"/>
      <w:b/>
      <w:bCs/>
      <w:szCs w:val="28"/>
    </w:rPr>
  </w:style>
  <w:style w:type="paragraph" w:styleId="Overskrift3">
    <w:name w:val="heading 3"/>
    <w:basedOn w:val="Normal"/>
    <w:next w:val="Normal"/>
    <w:link w:val="Overskrift3Tegn"/>
    <w:uiPriority w:val="9"/>
    <w:unhideWhenUsed/>
    <w:qFormat/>
    <w:rsid w:val="00FA716A"/>
    <w:pPr>
      <w:keepNext/>
      <w:keepLines/>
      <w:spacing w:before="200"/>
      <w:outlineLvl w:val="2"/>
    </w:pPr>
    <w:rPr>
      <w:rFonts w:eastAsiaTheme="majorEastAsia" w:cstheme="majorBidi"/>
      <w:b/>
      <w:bCs/>
      <w:i/>
    </w:rPr>
  </w:style>
  <w:style w:type="paragraph" w:styleId="Overskrift4">
    <w:name w:val="heading 4"/>
    <w:basedOn w:val="Normal"/>
    <w:next w:val="Normal"/>
    <w:link w:val="Overskrift4Tegn"/>
    <w:uiPriority w:val="9"/>
    <w:unhideWhenUsed/>
    <w:qFormat/>
    <w:rsid w:val="00FA716A"/>
    <w:pPr>
      <w:keepNext/>
      <w:keepLines/>
      <w:spacing w:before="200"/>
      <w:outlineLvl w:val="3"/>
    </w:pPr>
    <w:rPr>
      <w:rFonts w:eastAsiaTheme="majorEastAsia" w:cstheme="majorBidi"/>
      <w:bCs/>
      <w:i/>
      <w:iCs/>
    </w:rPr>
  </w:style>
  <w:style w:type="paragraph" w:styleId="Overskrift5">
    <w:name w:val="heading 5"/>
    <w:basedOn w:val="Normal"/>
    <w:next w:val="Normal"/>
    <w:link w:val="Overskrift5Tegn"/>
    <w:uiPriority w:val="9"/>
    <w:unhideWhenUsed/>
    <w:qFormat/>
    <w:rsid w:val="00FA716A"/>
    <w:pPr>
      <w:keepNext/>
      <w:keepLines/>
      <w:spacing w:before="200"/>
      <w:outlineLvl w:val="4"/>
    </w:pPr>
    <w:rPr>
      <w:rFonts w:eastAsiaTheme="majorEastAsia" w:cstheme="majorBidi"/>
    </w:rPr>
  </w:style>
  <w:style w:type="paragraph" w:styleId="Overskrift6">
    <w:name w:val="heading 6"/>
    <w:basedOn w:val="Normal"/>
    <w:next w:val="Normal"/>
    <w:link w:val="Overskrift6Tegn"/>
    <w:uiPriority w:val="9"/>
    <w:unhideWhenUsed/>
    <w:rsid w:val="00FF0275"/>
    <w:pPr>
      <w:keepNext/>
      <w:keepLines/>
      <w:numPr>
        <w:ilvl w:val="5"/>
        <w:numId w:val="2"/>
      </w:numPr>
      <w:spacing w:before="200"/>
      <w:outlineLvl w:val="5"/>
    </w:pPr>
    <w:rPr>
      <w:rFonts w:eastAsiaTheme="majorEastAsia" w:cstheme="majorBidi"/>
      <w:i/>
      <w:iCs/>
      <w:color w:val="224E8E" w:themeColor="accent1" w:themeShade="7F"/>
    </w:rPr>
  </w:style>
  <w:style w:type="paragraph" w:styleId="Overskrift7">
    <w:name w:val="heading 7"/>
    <w:basedOn w:val="Normal"/>
    <w:next w:val="Normal"/>
    <w:link w:val="Overskrift7Tegn"/>
    <w:uiPriority w:val="9"/>
    <w:unhideWhenUsed/>
    <w:rsid w:val="00FF0275"/>
    <w:pPr>
      <w:keepNext/>
      <w:keepLines/>
      <w:numPr>
        <w:ilvl w:val="6"/>
        <w:numId w:val="2"/>
      </w:numPr>
      <w:spacing w:before="200"/>
      <w:outlineLvl w:val="6"/>
    </w:pPr>
    <w:rPr>
      <w:rFonts w:eastAsiaTheme="majorEastAsia" w:cstheme="majorBidi"/>
      <w:i/>
      <w:iCs/>
      <w:color w:val="404040" w:themeColor="text1" w:themeTint="BF"/>
    </w:rPr>
  </w:style>
  <w:style w:type="paragraph" w:styleId="Overskrift8">
    <w:name w:val="heading 8"/>
    <w:basedOn w:val="Normal"/>
    <w:next w:val="Normal"/>
    <w:link w:val="Overskrift8Tegn"/>
    <w:uiPriority w:val="9"/>
    <w:semiHidden/>
    <w:unhideWhenUsed/>
    <w:rsid w:val="00FF0275"/>
    <w:pPr>
      <w:keepNext/>
      <w:keepLines/>
      <w:numPr>
        <w:ilvl w:val="7"/>
        <w:numId w:val="2"/>
      </w:numPr>
      <w:spacing w:before="200"/>
      <w:outlineLvl w:val="7"/>
    </w:pPr>
    <w:rPr>
      <w:rFonts w:eastAsiaTheme="majorEastAsia" w:cstheme="majorBidi"/>
      <w:color w:val="404040" w:themeColor="text1" w:themeTint="BF"/>
      <w:sz w:val="20"/>
      <w:szCs w:val="20"/>
    </w:rPr>
  </w:style>
  <w:style w:type="paragraph" w:styleId="Overskrift9">
    <w:name w:val="heading 9"/>
    <w:basedOn w:val="Normal"/>
    <w:next w:val="Normal"/>
    <w:link w:val="Overskrift9Tegn"/>
    <w:uiPriority w:val="9"/>
    <w:semiHidden/>
    <w:unhideWhenUsed/>
    <w:qFormat/>
    <w:rsid w:val="00FF0275"/>
    <w:pPr>
      <w:keepNext/>
      <w:keepLines/>
      <w:numPr>
        <w:ilvl w:val="8"/>
        <w:numId w:val="2"/>
      </w:numPr>
      <w:spacing w:before="200"/>
      <w:outlineLvl w:val="8"/>
    </w:pPr>
    <w:rPr>
      <w:rFonts w:eastAsiaTheme="majorEastAsia" w:cstheme="majorBidi"/>
      <w:i/>
      <w:iCs/>
      <w:color w:val="404040" w:themeColor="text1" w:themeTint="BF"/>
      <w:sz w:val="20"/>
      <w:szCs w:val="20"/>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customStyle="1" w:styleId="TittelAnca">
    <w:name w:val="Tittel Anca"/>
    <w:basedOn w:val="Normal"/>
    <w:link w:val="TittelAncaTegn"/>
    <w:rsid w:val="009E321D"/>
    <w:rPr>
      <w:rFonts w:ascii="Times New Roman" w:hAnsi="Times New Roman" w:cs="Times New Roman"/>
      <w:b/>
      <w:sz w:val="28"/>
      <w:szCs w:val="28"/>
    </w:rPr>
  </w:style>
  <w:style w:type="character" w:customStyle="1" w:styleId="TittelAncaTegn">
    <w:name w:val="Tittel Anca Tegn"/>
    <w:basedOn w:val="Standardskriftforavsnitt"/>
    <w:link w:val="TittelAnca"/>
    <w:rsid w:val="009E321D"/>
    <w:rPr>
      <w:rFonts w:ascii="Times New Roman" w:hAnsi="Times New Roman" w:cs="Times New Roman"/>
      <w:b/>
      <w:sz w:val="28"/>
      <w:szCs w:val="28"/>
    </w:rPr>
  </w:style>
  <w:style w:type="paragraph" w:customStyle="1" w:styleId="Overskrift1Anca">
    <w:name w:val="Overskrift 1 Anca"/>
    <w:basedOn w:val="TittelAnca"/>
    <w:link w:val="Overskrift1AncaTegn"/>
    <w:rsid w:val="009E321D"/>
  </w:style>
  <w:style w:type="character" w:customStyle="1" w:styleId="Overskrift1AncaTegn">
    <w:name w:val="Overskrift 1 Anca Tegn"/>
    <w:basedOn w:val="TittelAncaTegn"/>
    <w:link w:val="Overskrift1Anca"/>
    <w:rsid w:val="009E321D"/>
    <w:rPr>
      <w:rFonts w:ascii="Times New Roman" w:hAnsi="Times New Roman" w:cs="Times New Roman"/>
      <w:b/>
      <w:sz w:val="28"/>
      <w:szCs w:val="28"/>
    </w:rPr>
  </w:style>
  <w:style w:type="paragraph" w:customStyle="1" w:styleId="NormalAnca">
    <w:name w:val="Normal Anca"/>
    <w:basedOn w:val="Overskrift1Anca"/>
    <w:link w:val="NormalAncaTegn"/>
    <w:rsid w:val="009E321D"/>
    <w:rPr>
      <w:b w:val="0"/>
      <w:sz w:val="22"/>
      <w:szCs w:val="22"/>
    </w:rPr>
  </w:style>
  <w:style w:type="character" w:customStyle="1" w:styleId="NormalAncaTegn">
    <w:name w:val="Normal Anca Tegn"/>
    <w:basedOn w:val="Overskrift1AncaTegn"/>
    <w:link w:val="NormalAnca"/>
    <w:rsid w:val="009E321D"/>
    <w:rPr>
      <w:rFonts w:ascii="Times New Roman" w:hAnsi="Times New Roman" w:cs="Times New Roman"/>
      <w:b/>
      <w:sz w:val="28"/>
      <w:szCs w:val="28"/>
    </w:rPr>
  </w:style>
  <w:style w:type="character" w:customStyle="1" w:styleId="Stil1">
    <w:name w:val="Stil1"/>
    <w:basedOn w:val="Standardskriftforavsnitt"/>
    <w:uiPriority w:val="1"/>
    <w:rsid w:val="003F4712"/>
    <w:rPr>
      <w:lang w:val="nb-NO"/>
    </w:rPr>
  </w:style>
  <w:style w:type="character" w:customStyle="1" w:styleId="Stil2">
    <w:name w:val="Stil2"/>
    <w:basedOn w:val="Standardskriftforavsnitt"/>
    <w:uiPriority w:val="1"/>
    <w:rsid w:val="003F4712"/>
    <w:rPr>
      <w:rFonts w:asciiTheme="majorHAnsi" w:hAnsiTheme="majorHAnsi"/>
      <w:sz w:val="24"/>
      <w:lang w:val="nb-NO"/>
    </w:rPr>
  </w:style>
  <w:style w:type="paragraph" w:customStyle="1" w:styleId="Overskriftutennummerering">
    <w:name w:val="Overskrift uten nummerering"/>
    <w:basedOn w:val="Normal"/>
    <w:link w:val="OverskriftutennummereringTegn"/>
    <w:rsid w:val="00367FCD"/>
    <w:rPr>
      <w:b/>
      <w:sz w:val="32"/>
      <w:szCs w:val="32"/>
    </w:rPr>
  </w:style>
  <w:style w:type="character" w:customStyle="1" w:styleId="Overskrift1Tegn">
    <w:name w:val="Overskrift 1 Tegn"/>
    <w:basedOn w:val="Standardskriftforavsnitt"/>
    <w:link w:val="Overskrift1"/>
    <w:uiPriority w:val="9"/>
    <w:rsid w:val="00FA716A"/>
    <w:rPr>
      <w:rFonts w:asciiTheme="majorHAnsi" w:eastAsiaTheme="majorEastAsia" w:hAnsiTheme="majorHAnsi" w:cstheme="majorBidi"/>
      <w:b/>
      <w:bCs/>
      <w:sz w:val="28"/>
      <w:szCs w:val="32"/>
    </w:rPr>
  </w:style>
  <w:style w:type="character" w:customStyle="1" w:styleId="OverskriftutennummereringTegn">
    <w:name w:val="Overskrift uten nummerering Tegn"/>
    <w:basedOn w:val="Standardskriftforavsnitt"/>
    <w:link w:val="Overskriftutennummerering"/>
    <w:rsid w:val="00367FCD"/>
    <w:rPr>
      <w:rFonts w:asciiTheme="majorHAnsi" w:hAnsiTheme="majorHAnsi"/>
      <w:b/>
      <w:sz w:val="32"/>
      <w:szCs w:val="32"/>
    </w:rPr>
  </w:style>
  <w:style w:type="character" w:customStyle="1" w:styleId="Overskrift2Tegn">
    <w:name w:val="Overskrift 2 Tegn"/>
    <w:basedOn w:val="Standardskriftforavsnitt"/>
    <w:link w:val="Overskrift2"/>
    <w:uiPriority w:val="9"/>
    <w:rsid w:val="00FA716A"/>
    <w:rPr>
      <w:rFonts w:asciiTheme="majorHAnsi" w:eastAsiaTheme="majorEastAsia" w:hAnsiTheme="majorHAnsi" w:cstheme="majorBidi"/>
      <w:b/>
      <w:bCs/>
      <w:sz w:val="24"/>
      <w:szCs w:val="28"/>
    </w:rPr>
  </w:style>
  <w:style w:type="character" w:customStyle="1" w:styleId="Overskrift3Tegn">
    <w:name w:val="Overskrift 3 Tegn"/>
    <w:basedOn w:val="Standardskriftforavsnitt"/>
    <w:link w:val="Overskrift3"/>
    <w:uiPriority w:val="9"/>
    <w:rsid w:val="00FA716A"/>
    <w:rPr>
      <w:rFonts w:asciiTheme="majorHAnsi" w:eastAsiaTheme="majorEastAsia" w:hAnsiTheme="majorHAnsi" w:cstheme="majorBidi"/>
      <w:b/>
      <w:bCs/>
      <w:i/>
      <w:sz w:val="24"/>
      <w:szCs w:val="24"/>
    </w:rPr>
  </w:style>
  <w:style w:type="character" w:customStyle="1" w:styleId="Overskrift4Tegn">
    <w:name w:val="Overskrift 4 Tegn"/>
    <w:basedOn w:val="Standardskriftforavsnitt"/>
    <w:link w:val="Overskrift4"/>
    <w:uiPriority w:val="9"/>
    <w:rsid w:val="00FA716A"/>
    <w:rPr>
      <w:rFonts w:asciiTheme="majorHAnsi" w:eastAsiaTheme="majorEastAsia" w:hAnsiTheme="majorHAnsi" w:cstheme="majorBidi"/>
      <w:bCs/>
      <w:i/>
      <w:iCs/>
      <w:sz w:val="24"/>
      <w:szCs w:val="24"/>
    </w:rPr>
  </w:style>
  <w:style w:type="character" w:customStyle="1" w:styleId="Overskrift5Tegn">
    <w:name w:val="Overskrift 5 Tegn"/>
    <w:basedOn w:val="Standardskriftforavsnitt"/>
    <w:link w:val="Overskrift5"/>
    <w:uiPriority w:val="9"/>
    <w:rsid w:val="00FA716A"/>
    <w:rPr>
      <w:rFonts w:asciiTheme="majorHAnsi" w:eastAsiaTheme="majorEastAsia" w:hAnsiTheme="majorHAnsi" w:cstheme="majorBidi"/>
      <w:sz w:val="24"/>
      <w:szCs w:val="24"/>
    </w:rPr>
  </w:style>
  <w:style w:type="character" w:customStyle="1" w:styleId="Overskrift6Tegn">
    <w:name w:val="Overskrift 6 Tegn"/>
    <w:basedOn w:val="Standardskriftforavsnitt"/>
    <w:link w:val="Overskrift6"/>
    <w:uiPriority w:val="9"/>
    <w:rsid w:val="00FF0275"/>
    <w:rPr>
      <w:rFonts w:asciiTheme="majorHAnsi" w:eastAsiaTheme="majorEastAsia" w:hAnsiTheme="majorHAnsi" w:cstheme="majorBidi"/>
      <w:i/>
      <w:iCs/>
      <w:color w:val="224E8E" w:themeColor="accent1" w:themeShade="7F"/>
      <w:sz w:val="24"/>
      <w:szCs w:val="24"/>
    </w:rPr>
  </w:style>
  <w:style w:type="character" w:customStyle="1" w:styleId="Overskrift7Tegn">
    <w:name w:val="Overskrift 7 Tegn"/>
    <w:basedOn w:val="Standardskriftforavsnitt"/>
    <w:link w:val="Overskrift7"/>
    <w:uiPriority w:val="9"/>
    <w:rsid w:val="00FF0275"/>
    <w:rPr>
      <w:rFonts w:asciiTheme="majorHAnsi" w:eastAsiaTheme="majorEastAsia" w:hAnsiTheme="majorHAnsi" w:cstheme="majorBidi"/>
      <w:i/>
      <w:iCs/>
      <w:color w:val="404040" w:themeColor="text1" w:themeTint="BF"/>
      <w:sz w:val="24"/>
      <w:szCs w:val="24"/>
    </w:rPr>
  </w:style>
  <w:style w:type="character" w:customStyle="1" w:styleId="Overskrift8Tegn">
    <w:name w:val="Overskrift 8 Tegn"/>
    <w:basedOn w:val="Standardskriftforavsnitt"/>
    <w:link w:val="Overskrift8"/>
    <w:uiPriority w:val="9"/>
    <w:semiHidden/>
    <w:rsid w:val="00FF0275"/>
    <w:rPr>
      <w:rFonts w:asciiTheme="majorHAnsi" w:eastAsiaTheme="majorEastAsia" w:hAnsiTheme="majorHAnsi" w:cstheme="majorBidi"/>
      <w:color w:val="404040" w:themeColor="text1" w:themeTint="BF"/>
      <w:sz w:val="20"/>
      <w:szCs w:val="20"/>
    </w:rPr>
  </w:style>
  <w:style w:type="character" w:customStyle="1" w:styleId="Overskrift9Tegn">
    <w:name w:val="Overskrift 9 Tegn"/>
    <w:basedOn w:val="Standardskriftforavsnitt"/>
    <w:link w:val="Overskrift9"/>
    <w:uiPriority w:val="9"/>
    <w:semiHidden/>
    <w:rsid w:val="00FF0275"/>
    <w:rPr>
      <w:rFonts w:asciiTheme="majorHAnsi" w:eastAsiaTheme="majorEastAsia" w:hAnsiTheme="majorHAnsi" w:cstheme="majorBidi"/>
      <w:i/>
      <w:iCs/>
      <w:color w:val="404040" w:themeColor="text1" w:themeTint="BF"/>
      <w:sz w:val="20"/>
      <w:szCs w:val="20"/>
    </w:rPr>
  </w:style>
  <w:style w:type="paragraph" w:styleId="Overskriftforinnholdsfortegnelse">
    <w:name w:val="TOC Heading"/>
    <w:basedOn w:val="Overskrift1"/>
    <w:next w:val="Normal"/>
    <w:uiPriority w:val="39"/>
    <w:unhideWhenUsed/>
    <w:qFormat/>
    <w:rsid w:val="00957926"/>
    <w:pPr>
      <w:outlineLvl w:val="9"/>
    </w:pPr>
    <w:rPr>
      <w:color w:val="3977D0" w:themeColor="accent1" w:themeShade="BF"/>
      <w:szCs w:val="28"/>
    </w:rPr>
  </w:style>
  <w:style w:type="paragraph" w:styleId="INNH1">
    <w:name w:val="toc 1"/>
    <w:basedOn w:val="Normal"/>
    <w:next w:val="Normal"/>
    <w:autoRedefine/>
    <w:uiPriority w:val="39"/>
    <w:unhideWhenUsed/>
    <w:rsid w:val="00957926"/>
    <w:pPr>
      <w:spacing w:after="100"/>
    </w:pPr>
  </w:style>
  <w:style w:type="paragraph" w:styleId="INNH2">
    <w:name w:val="toc 2"/>
    <w:basedOn w:val="Normal"/>
    <w:next w:val="Normal"/>
    <w:autoRedefine/>
    <w:uiPriority w:val="39"/>
    <w:unhideWhenUsed/>
    <w:rsid w:val="00957926"/>
    <w:pPr>
      <w:spacing w:after="100"/>
      <w:ind w:left="240"/>
    </w:pPr>
  </w:style>
  <w:style w:type="paragraph" w:styleId="INNH3">
    <w:name w:val="toc 3"/>
    <w:basedOn w:val="Normal"/>
    <w:next w:val="Normal"/>
    <w:autoRedefine/>
    <w:uiPriority w:val="39"/>
    <w:unhideWhenUsed/>
    <w:rsid w:val="00957926"/>
    <w:pPr>
      <w:spacing w:after="100"/>
      <w:ind w:left="480"/>
    </w:pPr>
  </w:style>
  <w:style w:type="character" w:styleId="Hyperkobling">
    <w:name w:val="Hyperlink"/>
    <w:basedOn w:val="Standardskriftforavsnitt"/>
    <w:uiPriority w:val="99"/>
    <w:unhideWhenUsed/>
    <w:rsid w:val="00957926"/>
    <w:rPr>
      <w:color w:val="0000FF" w:themeColor="hyperlink"/>
      <w:u w:val="single"/>
    </w:rPr>
  </w:style>
  <w:style w:type="paragraph" w:styleId="Bobletekst">
    <w:name w:val="Balloon Text"/>
    <w:basedOn w:val="Normal"/>
    <w:link w:val="BobletekstTegn"/>
    <w:uiPriority w:val="99"/>
    <w:semiHidden/>
    <w:unhideWhenUsed/>
    <w:rsid w:val="00957926"/>
    <w:pPr>
      <w:spacing w:line="240" w:lineRule="auto"/>
    </w:pPr>
    <w:rPr>
      <w:rFonts w:ascii="Tahoma" w:hAnsi="Tahoma" w:cs="Tahoma"/>
      <w:sz w:val="16"/>
      <w:szCs w:val="16"/>
    </w:rPr>
  </w:style>
  <w:style w:type="character" w:customStyle="1" w:styleId="BobletekstTegn">
    <w:name w:val="Bobletekst Tegn"/>
    <w:basedOn w:val="Standardskriftforavsnitt"/>
    <w:link w:val="Bobletekst"/>
    <w:uiPriority w:val="99"/>
    <w:semiHidden/>
    <w:rsid w:val="00957926"/>
    <w:rPr>
      <w:rFonts w:ascii="Tahoma" w:hAnsi="Tahoma" w:cs="Tahoma"/>
      <w:sz w:val="16"/>
      <w:szCs w:val="16"/>
    </w:rPr>
  </w:style>
  <w:style w:type="paragraph" w:styleId="Topptekst">
    <w:name w:val="header"/>
    <w:basedOn w:val="Normal"/>
    <w:link w:val="TopptekstTegn"/>
    <w:uiPriority w:val="99"/>
    <w:unhideWhenUsed/>
    <w:rsid w:val="00A76CCD"/>
    <w:pPr>
      <w:tabs>
        <w:tab w:val="center" w:pos="4536"/>
        <w:tab w:val="right" w:pos="9072"/>
      </w:tabs>
      <w:spacing w:line="240" w:lineRule="auto"/>
    </w:pPr>
  </w:style>
  <w:style w:type="character" w:customStyle="1" w:styleId="TopptekstTegn">
    <w:name w:val="Topptekst Tegn"/>
    <w:basedOn w:val="Standardskriftforavsnitt"/>
    <w:link w:val="Topptekst"/>
    <w:uiPriority w:val="99"/>
    <w:rsid w:val="00A76CCD"/>
    <w:rPr>
      <w:rFonts w:asciiTheme="majorHAnsi" w:hAnsiTheme="majorHAnsi"/>
      <w:sz w:val="24"/>
      <w:szCs w:val="24"/>
    </w:rPr>
  </w:style>
  <w:style w:type="paragraph" w:styleId="Bunntekst">
    <w:name w:val="footer"/>
    <w:basedOn w:val="Normal"/>
    <w:link w:val="BunntekstTegn"/>
    <w:uiPriority w:val="99"/>
    <w:unhideWhenUsed/>
    <w:rsid w:val="00A76CCD"/>
    <w:pPr>
      <w:tabs>
        <w:tab w:val="center" w:pos="4536"/>
        <w:tab w:val="right" w:pos="9072"/>
      </w:tabs>
      <w:spacing w:line="240" w:lineRule="auto"/>
    </w:pPr>
  </w:style>
  <w:style w:type="character" w:customStyle="1" w:styleId="BunntekstTegn">
    <w:name w:val="Bunntekst Tegn"/>
    <w:basedOn w:val="Standardskriftforavsnitt"/>
    <w:link w:val="Bunntekst"/>
    <w:uiPriority w:val="99"/>
    <w:rsid w:val="00A76CCD"/>
    <w:rPr>
      <w:rFonts w:asciiTheme="majorHAnsi" w:hAnsiTheme="majorHAnsi"/>
      <w:sz w:val="24"/>
      <w:szCs w:val="24"/>
    </w:rPr>
  </w:style>
  <w:style w:type="paragraph" w:styleId="Listeavsnitt">
    <w:name w:val="List Paragraph"/>
    <w:basedOn w:val="Normal"/>
    <w:uiPriority w:val="34"/>
    <w:qFormat/>
    <w:rsid w:val="005C0448"/>
    <w:pPr>
      <w:ind w:left="720"/>
      <w:contextualSpacing/>
    </w:pPr>
  </w:style>
  <w:style w:type="paragraph" w:styleId="Tittel">
    <w:name w:val="Title"/>
    <w:basedOn w:val="Normal"/>
    <w:next w:val="Normal"/>
    <w:link w:val="TittelTegn"/>
    <w:uiPriority w:val="10"/>
    <w:rsid w:val="00E13BFD"/>
    <w:pPr>
      <w:spacing w:line="240" w:lineRule="auto"/>
      <w:contextualSpacing/>
    </w:pPr>
    <w:rPr>
      <w:rFonts w:eastAsiaTheme="majorEastAsia" w:cstheme="majorBidi"/>
      <w:spacing w:val="-10"/>
      <w:kern w:val="28"/>
      <w:sz w:val="56"/>
      <w:szCs w:val="56"/>
    </w:rPr>
  </w:style>
  <w:style w:type="character" w:customStyle="1" w:styleId="TittelTegn">
    <w:name w:val="Tittel Tegn"/>
    <w:basedOn w:val="Standardskriftforavsnitt"/>
    <w:link w:val="Tittel"/>
    <w:uiPriority w:val="10"/>
    <w:rsid w:val="00E13BFD"/>
    <w:rPr>
      <w:rFonts w:asciiTheme="majorHAnsi" w:eastAsiaTheme="majorEastAsia" w:hAnsiTheme="majorHAnsi" w:cstheme="majorBidi"/>
      <w:spacing w:val="-10"/>
      <w:kern w:val="28"/>
      <w:sz w:val="56"/>
      <w:szCs w:val="56"/>
    </w:rPr>
  </w:style>
  <w:style w:type="table" w:styleId="Tabellrutenett">
    <w:name w:val="Table Grid"/>
    <w:basedOn w:val="Vanligtabell"/>
    <w:uiPriority w:val="59"/>
    <w:rsid w:val="008A45B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Rutenettabell3uthevingsfarge4">
    <w:name w:val="Grid Table 3 Accent 4"/>
    <w:basedOn w:val="Vanligtabell"/>
    <w:uiPriority w:val="48"/>
    <w:rsid w:val="00902044"/>
    <w:pPr>
      <w:spacing w:after="0" w:line="240" w:lineRule="auto"/>
    </w:pPr>
    <w:tblPr>
      <w:tblStyleRowBandSize w:val="1"/>
      <w:tblStyleColBandSize w:val="1"/>
      <w:tblBorders>
        <w:top w:val="single" w:sz="4" w:space="0" w:color="6ABA92" w:themeColor="accent4" w:themeTint="99"/>
        <w:left w:val="single" w:sz="4" w:space="0" w:color="6ABA92" w:themeColor="accent4" w:themeTint="99"/>
        <w:bottom w:val="single" w:sz="4" w:space="0" w:color="6ABA92" w:themeColor="accent4" w:themeTint="99"/>
        <w:right w:val="single" w:sz="4" w:space="0" w:color="6ABA92" w:themeColor="accent4" w:themeTint="99"/>
        <w:insideH w:val="single" w:sz="4" w:space="0" w:color="6ABA92" w:themeColor="accent4" w:themeTint="99"/>
        <w:insideV w:val="single" w:sz="4" w:space="0" w:color="6ABA92"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DE8DA" w:themeFill="accent4" w:themeFillTint="33"/>
      </w:tcPr>
    </w:tblStylePr>
    <w:tblStylePr w:type="band1Horz">
      <w:tblPr/>
      <w:tcPr>
        <w:shd w:val="clear" w:color="auto" w:fill="CDE8DA" w:themeFill="accent4" w:themeFillTint="33"/>
      </w:tcPr>
    </w:tblStylePr>
    <w:tblStylePr w:type="neCell">
      <w:tblPr/>
      <w:tcPr>
        <w:tcBorders>
          <w:bottom w:val="single" w:sz="4" w:space="0" w:color="6ABA92" w:themeColor="accent4" w:themeTint="99"/>
        </w:tcBorders>
      </w:tcPr>
    </w:tblStylePr>
    <w:tblStylePr w:type="nwCell">
      <w:tblPr/>
      <w:tcPr>
        <w:tcBorders>
          <w:bottom w:val="single" w:sz="4" w:space="0" w:color="6ABA92" w:themeColor="accent4" w:themeTint="99"/>
        </w:tcBorders>
      </w:tcPr>
    </w:tblStylePr>
    <w:tblStylePr w:type="seCell">
      <w:tblPr/>
      <w:tcPr>
        <w:tcBorders>
          <w:top w:val="single" w:sz="4" w:space="0" w:color="6ABA92" w:themeColor="accent4" w:themeTint="99"/>
        </w:tcBorders>
      </w:tcPr>
    </w:tblStylePr>
    <w:tblStylePr w:type="swCell">
      <w:tblPr/>
      <w:tcPr>
        <w:tcBorders>
          <w:top w:val="single" w:sz="4" w:space="0" w:color="6ABA92" w:themeColor="accent4" w:themeTint="99"/>
        </w:tcBorders>
      </w:tcPr>
    </w:tblStylePr>
  </w:style>
  <w:style w:type="table" w:styleId="Rutenettabell3uthevingsfarge5">
    <w:name w:val="Grid Table 3 Accent 5"/>
    <w:basedOn w:val="Vanligtabell"/>
    <w:uiPriority w:val="48"/>
    <w:rsid w:val="00902044"/>
    <w:pPr>
      <w:spacing w:after="0" w:line="240" w:lineRule="auto"/>
    </w:pPr>
    <w:tblPr>
      <w:tblStyleRowBandSize w:val="1"/>
      <w:tblStyleColBandSize w:val="1"/>
      <w:tblBorders>
        <w:top w:val="single" w:sz="4" w:space="0" w:color="B97162" w:themeColor="accent5" w:themeTint="99"/>
        <w:left w:val="single" w:sz="4" w:space="0" w:color="B97162" w:themeColor="accent5" w:themeTint="99"/>
        <w:bottom w:val="single" w:sz="4" w:space="0" w:color="B97162" w:themeColor="accent5" w:themeTint="99"/>
        <w:right w:val="single" w:sz="4" w:space="0" w:color="B97162" w:themeColor="accent5" w:themeTint="99"/>
        <w:insideH w:val="single" w:sz="4" w:space="0" w:color="B97162" w:themeColor="accent5" w:themeTint="99"/>
        <w:insideV w:val="single" w:sz="4" w:space="0" w:color="B97162"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CFCA" w:themeFill="accent5" w:themeFillTint="33"/>
      </w:tcPr>
    </w:tblStylePr>
    <w:tblStylePr w:type="band1Horz">
      <w:tblPr/>
      <w:tcPr>
        <w:shd w:val="clear" w:color="auto" w:fill="E7CFCA" w:themeFill="accent5" w:themeFillTint="33"/>
      </w:tcPr>
    </w:tblStylePr>
    <w:tblStylePr w:type="neCell">
      <w:tblPr/>
      <w:tcPr>
        <w:tcBorders>
          <w:bottom w:val="single" w:sz="4" w:space="0" w:color="B97162" w:themeColor="accent5" w:themeTint="99"/>
        </w:tcBorders>
      </w:tcPr>
    </w:tblStylePr>
    <w:tblStylePr w:type="nwCell">
      <w:tblPr/>
      <w:tcPr>
        <w:tcBorders>
          <w:bottom w:val="single" w:sz="4" w:space="0" w:color="B97162" w:themeColor="accent5" w:themeTint="99"/>
        </w:tcBorders>
      </w:tcPr>
    </w:tblStylePr>
    <w:tblStylePr w:type="seCell">
      <w:tblPr/>
      <w:tcPr>
        <w:tcBorders>
          <w:top w:val="single" w:sz="4" w:space="0" w:color="B97162" w:themeColor="accent5" w:themeTint="99"/>
        </w:tcBorders>
      </w:tcPr>
    </w:tblStylePr>
    <w:tblStylePr w:type="swCell">
      <w:tblPr/>
      <w:tcPr>
        <w:tcBorders>
          <w:top w:val="single" w:sz="4" w:space="0" w:color="B97162" w:themeColor="accent5" w:themeTint="99"/>
        </w:tcBorders>
      </w:tcPr>
    </w:tblStylePr>
  </w:style>
  <w:style w:type="table" w:styleId="Rutenettabell3uthevingsfarge6">
    <w:name w:val="Grid Table 3 Accent 6"/>
    <w:basedOn w:val="Vanligtabell"/>
    <w:uiPriority w:val="48"/>
    <w:rsid w:val="00902044"/>
    <w:pPr>
      <w:spacing w:after="0" w:line="240" w:lineRule="auto"/>
    </w:pPr>
    <w:tblPr>
      <w:tblStyleRowBandSize w:val="1"/>
      <w:tblStyleColBandSize w:val="1"/>
      <w:tblBorders>
        <w:top w:val="single" w:sz="4" w:space="0" w:color="C2C7CC" w:themeColor="accent6" w:themeTint="99"/>
        <w:left w:val="single" w:sz="4" w:space="0" w:color="C2C7CC" w:themeColor="accent6" w:themeTint="99"/>
        <w:bottom w:val="single" w:sz="4" w:space="0" w:color="C2C7CC" w:themeColor="accent6" w:themeTint="99"/>
        <w:right w:val="single" w:sz="4" w:space="0" w:color="C2C7CC" w:themeColor="accent6" w:themeTint="99"/>
        <w:insideH w:val="single" w:sz="4" w:space="0" w:color="C2C7CC" w:themeColor="accent6" w:themeTint="99"/>
        <w:insideV w:val="single" w:sz="4" w:space="0" w:color="C2C7CC"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CEE" w:themeFill="accent6" w:themeFillTint="33"/>
      </w:tcPr>
    </w:tblStylePr>
    <w:tblStylePr w:type="band1Horz">
      <w:tblPr/>
      <w:tcPr>
        <w:shd w:val="clear" w:color="auto" w:fill="EAECEE" w:themeFill="accent6" w:themeFillTint="33"/>
      </w:tcPr>
    </w:tblStylePr>
    <w:tblStylePr w:type="neCell">
      <w:tblPr/>
      <w:tcPr>
        <w:tcBorders>
          <w:bottom w:val="single" w:sz="4" w:space="0" w:color="C2C7CC" w:themeColor="accent6" w:themeTint="99"/>
        </w:tcBorders>
      </w:tcPr>
    </w:tblStylePr>
    <w:tblStylePr w:type="nwCell">
      <w:tblPr/>
      <w:tcPr>
        <w:tcBorders>
          <w:bottom w:val="single" w:sz="4" w:space="0" w:color="C2C7CC" w:themeColor="accent6" w:themeTint="99"/>
        </w:tcBorders>
      </w:tcPr>
    </w:tblStylePr>
    <w:tblStylePr w:type="seCell">
      <w:tblPr/>
      <w:tcPr>
        <w:tcBorders>
          <w:top w:val="single" w:sz="4" w:space="0" w:color="C2C7CC" w:themeColor="accent6" w:themeTint="99"/>
        </w:tcBorders>
      </w:tcPr>
    </w:tblStylePr>
    <w:tblStylePr w:type="swCell">
      <w:tblPr/>
      <w:tcPr>
        <w:tcBorders>
          <w:top w:val="single" w:sz="4" w:space="0" w:color="C2C7CC" w:themeColor="accent6" w:themeTint="99"/>
        </w:tcBorders>
      </w:tcPr>
    </w:tblStylePr>
  </w:style>
  <w:style w:type="paragraph" w:customStyle="1" w:styleId="Fasttopptekst">
    <w:name w:val="Fast topptekst"/>
    <w:rsid w:val="00C12716"/>
    <w:pPr>
      <w:spacing w:after="0" w:line="240" w:lineRule="auto"/>
    </w:pPr>
    <w:rPr>
      <w:rFonts w:ascii="Arial" w:eastAsia="Times New Roman" w:hAnsi="Arial" w:cs="Times New Roman"/>
      <w:color w:val="000000"/>
      <w:sz w:val="14"/>
      <w:szCs w:val="16"/>
      <w:lang w:eastAsia="nb-NO"/>
    </w:rPr>
  </w:style>
  <w:style w:type="paragraph" w:customStyle="1" w:styleId="Variabeltopptekst">
    <w:name w:val="Variabel topptekst"/>
    <w:rsid w:val="00C12716"/>
    <w:pPr>
      <w:spacing w:after="0" w:line="240" w:lineRule="auto"/>
    </w:pPr>
    <w:rPr>
      <w:rFonts w:ascii="Times New Roman" w:eastAsia="Times New Roman" w:hAnsi="Times New Roman" w:cs="Times New Roman"/>
      <w:color w:val="000000"/>
      <w:sz w:val="24"/>
      <w:szCs w:val="16"/>
      <w:lang w:eastAsia="nb-NO"/>
    </w:rPr>
  </w:style>
  <w:style w:type="character" w:styleId="Ulstomtale">
    <w:name w:val="Unresolved Mention"/>
    <w:basedOn w:val="Standardskriftforavsnitt"/>
    <w:uiPriority w:val="99"/>
    <w:semiHidden/>
    <w:unhideWhenUsed/>
    <w:rsid w:val="00874C01"/>
    <w:rPr>
      <w:color w:val="605E5C"/>
      <w:shd w:val="clear" w:color="auto" w:fill="E1DFDD"/>
    </w:rPr>
  </w:style>
  <w:style w:type="paragraph" w:styleId="Revisjon">
    <w:name w:val="Revision"/>
    <w:hidden/>
    <w:uiPriority w:val="99"/>
    <w:semiHidden/>
    <w:rsid w:val="00DA7BA4"/>
    <w:pPr>
      <w:spacing w:after="0" w:line="240" w:lineRule="auto"/>
    </w:pPr>
    <w:rPr>
      <w:rFonts w:ascii="Cambria" w:hAnsi="Cambria"/>
      <w:sz w:val="24"/>
      <w:szCs w:val="24"/>
    </w:rPr>
  </w:style>
  <w:style w:type="character" w:styleId="Merknadsreferanse">
    <w:name w:val="annotation reference"/>
    <w:basedOn w:val="Standardskriftforavsnitt"/>
    <w:uiPriority w:val="99"/>
    <w:semiHidden/>
    <w:unhideWhenUsed/>
    <w:rsid w:val="002E7A35"/>
    <w:rPr>
      <w:sz w:val="16"/>
      <w:szCs w:val="16"/>
    </w:rPr>
  </w:style>
  <w:style w:type="paragraph" w:styleId="Merknadstekst">
    <w:name w:val="annotation text"/>
    <w:basedOn w:val="Normal"/>
    <w:link w:val="MerknadstekstTegn"/>
    <w:uiPriority w:val="99"/>
    <w:unhideWhenUsed/>
    <w:rsid w:val="002E7A35"/>
    <w:pPr>
      <w:spacing w:line="240" w:lineRule="auto"/>
    </w:pPr>
    <w:rPr>
      <w:sz w:val="20"/>
      <w:szCs w:val="20"/>
    </w:rPr>
  </w:style>
  <w:style w:type="character" w:customStyle="1" w:styleId="MerknadstekstTegn">
    <w:name w:val="Merknadstekst Tegn"/>
    <w:basedOn w:val="Standardskriftforavsnitt"/>
    <w:link w:val="Merknadstekst"/>
    <w:uiPriority w:val="99"/>
    <w:rsid w:val="002E7A35"/>
    <w:rPr>
      <w:rFonts w:ascii="Cambria" w:hAnsi="Cambria"/>
      <w:sz w:val="20"/>
      <w:szCs w:val="20"/>
    </w:rPr>
  </w:style>
  <w:style w:type="paragraph" w:styleId="Kommentaremne">
    <w:name w:val="annotation subject"/>
    <w:basedOn w:val="Merknadstekst"/>
    <w:next w:val="Merknadstekst"/>
    <w:link w:val="KommentaremneTegn"/>
    <w:uiPriority w:val="99"/>
    <w:semiHidden/>
    <w:unhideWhenUsed/>
    <w:rsid w:val="002E7A35"/>
    <w:rPr>
      <w:b/>
      <w:bCs/>
    </w:rPr>
  </w:style>
  <w:style w:type="character" w:customStyle="1" w:styleId="KommentaremneTegn">
    <w:name w:val="Kommentaremne Tegn"/>
    <w:basedOn w:val="MerknadstekstTegn"/>
    <w:link w:val="Kommentaremne"/>
    <w:uiPriority w:val="99"/>
    <w:semiHidden/>
    <w:rsid w:val="002E7A35"/>
    <w:rPr>
      <w:rFonts w:ascii="Cambria" w:hAnsi="Cambria"/>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lovdata.no/lov/2014-06-20-42/&#167;13" TargetMode="External"/><Relationship Id="rId18" Type="http://schemas.openxmlformats.org/officeDocument/2006/relationships/hyperlink" Target="https://files.nettsteder.regjeringen.no/wpuploads01/sites/603/2026/03/2026-03-26-Health2B-Innspill-til-Helsereformutvalget.pdf"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hyperlink" Target="https://lovdata.no/lov/1999-07-02-64/&#167;25" TargetMode="External"/><Relationship Id="rId17" Type="http://schemas.openxmlformats.org/officeDocument/2006/relationships/hyperlink" Target="https://files.nettsteder.regjeringen.no/wpuploads01/sites/603/2026/01/1-Rettslige-utfordringer-i-helseforetaksmodellen-Notat-til-HRU-121025-AK-Befring.pdf"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lovdata.no/forskrift/2007-12-21-1610/&#167;6-1" TargetMode="External"/><Relationship Id="rId20" Type="http://schemas.openxmlformats.org/officeDocument/2006/relationships/hyperlink" Target="https://files.nettsteder.regjeringen.no/wpuploads01/sites/603/2026/01/Innspill-til-Helsereformutvalget-2026_Dignio.pdf"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files.nettsteder.regjeringen.no/wpuploads01/sites/603/2026/07/Dagens-regelverk-har-behov-for-modernisering-innspill-til-Helsereformutvalget-.pdf" TargetMode="External"/><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www.regjeringen.no/no/dokumenter/horingsbrev-forslag-til-ny-lov-om-det-europeiske-helsedataomradet/id3164607/" TargetMode="External"/><Relationship Id="rId23"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hyperlink" Target="https://www.regjeringen.no/no/dokumenter/3112327/id3112327/?uid=52f73465-69ad-46cb-af08-9cd5c7203599"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lovdata.no/forskrift/2013-05-31-563/&#167;7" TargetMode="External"/><Relationship Id="rId22" Type="http://schemas.openxmlformats.org/officeDocument/2006/relationships/header" Target="header1.xml"/></Relationships>
</file>

<file path=word/_rels/footer2.xml.rels><?xml version="1.0" encoding="UTF-8" standalone="yes"?>
<Relationships xmlns="http://schemas.openxmlformats.org/package/2006/relationships"><Relationship Id="rId2" Type="http://schemas.openxmlformats.org/officeDocument/2006/relationships/hyperlink" Target="http://www.helse-nord.no" TargetMode="External"/><Relationship Id="rId1" Type="http://schemas.openxmlformats.org/officeDocument/2006/relationships/hyperlink" Target="mailto:postmottak@helse-nord.no"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2.emf"/><Relationship Id="rId2" Type="http://schemas.openxmlformats.org/officeDocument/2006/relationships/image" Target="cid:image003.png@01D77310.9BF25560" TargetMode="External"/><Relationship Id="rId1" Type="http://schemas.openxmlformats.org/officeDocument/2006/relationships/image" Target="media/image1.png"/></Relationships>
</file>

<file path=word/theme/theme1.xml><?xml version="1.0" encoding="utf-8"?>
<a:theme xmlns:a="http://schemas.openxmlformats.org/drawingml/2006/main" name="Office-tema">
  <a:themeElements>
    <a:clrScheme name="Profilfarger Helse Nord">
      <a:dk1>
        <a:sysClr val="windowText" lastClr="000000"/>
      </a:dk1>
      <a:lt1>
        <a:sysClr val="window" lastClr="FFFFFF"/>
      </a:lt1>
      <a:dk2>
        <a:srgbClr val="003283"/>
      </a:dk2>
      <a:lt2>
        <a:srgbClr val="C3A687"/>
      </a:lt2>
      <a:accent1>
        <a:srgbClr val="81A9E1"/>
      </a:accent1>
      <a:accent2>
        <a:srgbClr val="BD0C2E"/>
      </a:accent2>
      <a:accent3>
        <a:srgbClr val="E3A610"/>
      </a:accent3>
      <a:accent4>
        <a:srgbClr val="2F654A"/>
      </a:accent4>
      <a:accent5>
        <a:srgbClr val="5C3229"/>
      </a:accent5>
      <a:accent6>
        <a:srgbClr val="9AA2AB"/>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activity xmlns="99360195-b848-4f26-beff-f43ced36ab80" xsi:nil="true"/>
  </documentManagement>
</p:properties>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ct:contentTypeSchema xmlns:ct="http://schemas.microsoft.com/office/2006/metadata/contentType" xmlns:ma="http://schemas.microsoft.com/office/2006/metadata/properties/metaAttributes" ct:_="" ma:_="" ma:contentTypeName="Document" ma:contentTypeID="0x0101004BFBF4747C6CBE42B36A6E547D00F353" ma:contentTypeVersion="13" ma:contentTypeDescription="Create a new document." ma:contentTypeScope="" ma:versionID="49298430626669695e9b9691e2196f89">
  <xsd:schema xmlns:xsd="http://www.w3.org/2001/XMLSchema" xmlns:xs="http://www.w3.org/2001/XMLSchema" xmlns:p="http://schemas.microsoft.com/office/2006/metadata/properties" xmlns:ns3="99360195-b848-4f26-beff-f43ced36ab80" targetNamespace="http://schemas.microsoft.com/office/2006/metadata/properties" ma:root="true" ma:fieldsID="a3fd57d0ca6219a567fa231117eb474c" ns3:_="">
    <xsd:import namespace="99360195-b848-4f26-beff-f43ced36ab80"/>
    <xsd:element name="properties">
      <xsd:complexType>
        <xsd:sequence>
          <xsd:element name="documentManagement">
            <xsd:complexType>
              <xsd:all>
                <xsd:element ref="ns3:MediaServiceMetadata" minOccurs="0"/>
                <xsd:element ref="ns3:MediaServiceFastMetadata" minOccurs="0"/>
                <xsd:element ref="ns3:MediaServiceObjectDetectorVersions" minOccurs="0"/>
                <xsd:element ref="ns3:MediaServiceGenerationTime" minOccurs="0"/>
                <xsd:element ref="ns3:MediaServiceEventHashCode" minOccurs="0"/>
                <xsd:element ref="ns3:MediaLengthInSeconds" minOccurs="0"/>
                <xsd:element ref="ns3:MediaServiceSearchProperties" minOccurs="0"/>
                <xsd:element ref="ns3:MediaServiceDateTaken" minOccurs="0"/>
                <xsd:element ref="ns3:MediaServiceSystemTags" minOccurs="0"/>
                <xsd:element ref="ns3:MediaServiceLocation" minOccurs="0"/>
                <xsd:element ref="ns3:MediaServiceOCR" minOccurs="0"/>
                <xsd:element ref="ns3:_activity"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360195-b848-4f26-beff-f43ced36ab8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SystemTags" ma:index="16" nillable="true" ma:displayName="MediaServiceSystemTags" ma:hidden="true" ma:internalName="MediaServiceSystemTags" ma:readOnly="true">
      <xsd:simpleType>
        <xsd:restriction base="dms:Note"/>
      </xsd:simpleType>
    </xsd:element>
    <xsd:element name="MediaServiceLocation" ma:index="17" nillable="true" ma:displayName="Location" ma:indexed="true" ma:internalName="MediaServiceLocatio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_activity" ma:index="19" nillable="true" ma:displayName="_activity" ma:hidden="true" ma:internalName="_activity">
      <xsd:simpleType>
        <xsd:restriction base="dms:Note"/>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7DA3D76-EE5A-4B9B-ADE8-39086F9CC4D9}">
  <ds:schemaRefs>
    <ds:schemaRef ds:uri="http://schemas.microsoft.com/sharepoint/v3/contenttype/forms"/>
  </ds:schemaRefs>
</ds:datastoreItem>
</file>

<file path=customXml/itemProps2.xml><?xml version="1.0" encoding="utf-8"?>
<ds:datastoreItem xmlns:ds="http://schemas.openxmlformats.org/officeDocument/2006/customXml" ds:itemID="{04A36C46-6942-47FD-9E77-67AE1D4DD377}">
  <ds:schemaRefs>
    <ds:schemaRef ds:uri="http://schemas.microsoft.com/office/2006/metadata/properties"/>
    <ds:schemaRef ds:uri="http://schemas.microsoft.com/office/infopath/2007/PartnerControls"/>
    <ds:schemaRef ds:uri="99360195-b848-4f26-beff-f43ced36ab80"/>
  </ds:schemaRefs>
</ds:datastoreItem>
</file>

<file path=customXml/itemProps3.xml><?xml version="1.0" encoding="utf-8"?>
<ds:datastoreItem xmlns:ds="http://schemas.openxmlformats.org/officeDocument/2006/customXml" ds:itemID="{567AAA6C-E605-4A5A-A6DA-8D6C15AF493E}">
  <ds:schemaRefs>
    <ds:schemaRef ds:uri="http://schemas.openxmlformats.org/officeDocument/2006/bibliography"/>
  </ds:schemaRefs>
</ds:datastoreItem>
</file>

<file path=customXml/itemProps4.xml><?xml version="1.0" encoding="utf-8"?>
<ds:datastoreItem xmlns:ds="http://schemas.openxmlformats.org/officeDocument/2006/customXml" ds:itemID="{E23F4176-B9B9-4292-92A5-32A478AD42F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360195-b848-4f26-beff-f43ced36ab8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67718108-2eb7-474c-a1d7-41655d4b1e61}" enabled="0" method="" siteId="{67718108-2eb7-474c-a1d7-41655d4b1e61}" removed="1"/>
</clbl:labelList>
</file>

<file path=docProps/app.xml><?xml version="1.0" encoding="utf-8"?>
<Properties xmlns="http://schemas.openxmlformats.org/officeDocument/2006/extended-properties" xmlns:vt="http://schemas.openxmlformats.org/officeDocument/2006/docPropsVTypes">
  <Template>Normal</Template>
  <TotalTime>3</TotalTime>
  <Pages>7</Pages>
  <Words>2745</Words>
  <Characters>16229</Characters>
  <Application>Microsoft Office Word</Application>
  <DocSecurity>4</DocSecurity>
  <Lines>306</Lines>
  <Paragraphs>61</Paragraphs>
  <ScaleCrop>false</ScaleCrop>
  <HeadingPairs>
    <vt:vector size="2" baseType="variant">
      <vt:variant>
        <vt:lpstr>Tittel</vt:lpstr>
      </vt:variant>
      <vt:variant>
        <vt:i4>1</vt:i4>
      </vt:variant>
    </vt:vector>
  </HeadingPairs>
  <TitlesOfParts>
    <vt:vector size="1" baseType="lpstr">
      <vt:lpstr/>
    </vt:vector>
  </TitlesOfParts>
  <Company>Helse Nord</Company>
  <LinksUpToDate>false</LinksUpToDate>
  <CharactersWithSpaces>18913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Mal Helse Nord RHF</dc:subject>
  <dc:creator>Terje Bless</dc:creator>
  <cp:lastModifiedBy>Siv Lunde</cp:lastModifiedBy>
  <cp:revision>2</cp:revision>
  <cp:lastPrinted>2018-07-26T07:38:00Z</cp:lastPrinted>
  <dcterms:created xsi:type="dcterms:W3CDTF">2026-10-05T12:09:00Z</dcterms:created>
  <dcterms:modified xsi:type="dcterms:W3CDTF">2026-10-05T12:09:00Z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0x0101004BFBF4747C6CBE42B36A6E547D00F353</vt:lpwstr>
  </property>
  <property fmtid="{D5CDD505-2E9C-101B-9397-08002B2CF9AE}" pid="3" name="MSIP_Label_52cb0b57-dde8-42fe-9f44-53162ebab993_Enabled">
    <vt:lpwstr>true</vt:lpwstr>
  </property>
  <property fmtid="{D5CDD505-2E9C-101B-9397-08002B2CF9AE}" pid="4" name="MSIP_Label_52cb0b57-dde8-42fe-9f44-53162ebab993_SetDate">
    <vt:lpwstr>2026-10-05T12:09:58Z</vt:lpwstr>
  </property>
  <property fmtid="{D5CDD505-2E9C-101B-9397-08002B2CF9AE}" pid="5" name="MSIP_Label_52cb0b57-dde8-42fe-9f44-53162ebab993_Method">
    <vt:lpwstr>Standard</vt:lpwstr>
  </property>
  <property fmtid="{D5CDD505-2E9C-101B-9397-08002B2CF9AE}" pid="6" name="MSIP_Label_52cb0b57-dde8-42fe-9f44-53162ebab993_Name">
    <vt:lpwstr>Intern (HOD)</vt:lpwstr>
  </property>
  <property fmtid="{D5CDD505-2E9C-101B-9397-08002B2CF9AE}" pid="7" name="MSIP_Label_52cb0b57-dde8-42fe-9f44-53162ebab993_SiteId">
    <vt:lpwstr>f696e186-1c3b-44cd-bf76-5ace0e7007bd</vt:lpwstr>
  </property>
  <property fmtid="{D5CDD505-2E9C-101B-9397-08002B2CF9AE}" pid="8" name="MSIP_Label_52cb0b57-dde8-42fe-9f44-53162ebab993_ActionId">
    <vt:lpwstr>35f2c6f9-a822-48ec-98f8-c4648f1e65a8</vt:lpwstr>
  </property>
  <property fmtid="{D5CDD505-2E9C-101B-9397-08002B2CF9AE}" pid="9" name="MSIP_Label_52cb0b57-dde8-42fe-9f44-53162ebab993_ContentBits">
    <vt:lpwstr>0</vt:lpwstr>
  </property>
  <property fmtid="{D5CDD505-2E9C-101B-9397-08002B2CF9AE}" pid="10" name="MSIP_Label_52cb0b57-dde8-42fe-9f44-53162ebab993_Tag">
    <vt:lpwstr>10, 3, 0, 1</vt:lpwstr>
  </property>
</Properties>
</file>