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C4302" w14:textId="77777777" w:rsidR="00173E29" w:rsidRDefault="00173E29" w:rsidP="008449A9">
      <w:pPr>
        <w:jc w:val="both"/>
      </w:pPr>
      <w:r>
        <w:t xml:space="preserve">Åpent brev til </w:t>
      </w:r>
    </w:p>
    <w:p w14:paraId="1EE7814F" w14:textId="4D7AFB8E" w:rsidR="002B0180" w:rsidRDefault="00173E29" w:rsidP="008449A9">
      <w:pPr>
        <w:jc w:val="both"/>
      </w:pPr>
      <w:r>
        <w:t>S</w:t>
      </w:r>
      <w:r w:rsidR="002B0180">
        <w:t xml:space="preserve">tatsrådene i Barne- og familiedepartementet og </w:t>
      </w:r>
    </w:p>
    <w:p w14:paraId="529ADA9E" w14:textId="0BFEDCD0" w:rsidR="002B0180" w:rsidRDefault="002B0180" w:rsidP="008449A9">
      <w:pPr>
        <w:jc w:val="both"/>
      </w:pPr>
      <w:r>
        <w:t xml:space="preserve">Justis – og beredskapsdepartementet v/ oppdragsgiver </w:t>
      </w:r>
    </w:p>
    <w:p w14:paraId="65ECDC80" w14:textId="3C8D616A" w:rsidR="002B0180" w:rsidRDefault="002B0180" w:rsidP="008449A9">
      <w:pPr>
        <w:jc w:val="both"/>
      </w:pPr>
      <w:r>
        <w:t>for ekspertgruppen som skal utrede nye tiltak for barn som begår</w:t>
      </w:r>
    </w:p>
    <w:p w14:paraId="6B6DEB10" w14:textId="77777777" w:rsidR="002B0180" w:rsidRDefault="002B0180" w:rsidP="008449A9">
      <w:pPr>
        <w:jc w:val="both"/>
      </w:pPr>
      <w:r>
        <w:t xml:space="preserve">gjentatt eller alvorlig kriminalitet, ekspedisjonssjef for </w:t>
      </w:r>
    </w:p>
    <w:p w14:paraId="258C245A" w14:textId="2CC1F68D" w:rsidR="002B0180" w:rsidRDefault="002B0180" w:rsidP="008449A9">
      <w:pPr>
        <w:jc w:val="both"/>
      </w:pPr>
      <w:r>
        <w:t xml:space="preserve">kriminalitetsforebygging Håvard Bekkelund </w:t>
      </w:r>
    </w:p>
    <w:p w14:paraId="4F4AB0EB" w14:textId="339C3773" w:rsidR="002B0180" w:rsidRDefault="002B0180" w:rsidP="008449A9">
      <w:pPr>
        <w:jc w:val="both"/>
        <w:rPr>
          <w:b/>
          <w:bCs/>
        </w:rPr>
      </w:pPr>
      <w:r w:rsidRPr="002B0180">
        <w:rPr>
          <w:b/>
          <w:bCs/>
        </w:rPr>
        <w:t>Mandatforståelsen i et menneskerettslig perspektiv</w:t>
      </w:r>
    </w:p>
    <w:p w14:paraId="4D4E8918" w14:textId="58F063C9" w:rsidR="005406A9" w:rsidRDefault="002B0180" w:rsidP="008449A9">
      <w:pPr>
        <w:jc w:val="both"/>
      </w:pPr>
      <w:r>
        <w:t>Som utnevnt faglig ekspert i det hurtigarbeidende ekspertutvalget som skal vurdere nye tiltak mot barn som begår alvorlig eller gjentatt kriminalitet, er jeg av utvalgsleder og sekretariatsleder bedt om å redegjøre for mandatforståelsen i et menneskerettslig perspektiv</w:t>
      </w:r>
      <w:r w:rsidR="002B76E9">
        <w:t xml:space="preserve">. </w:t>
      </w:r>
    </w:p>
    <w:p w14:paraId="418903CD" w14:textId="3DC03A59" w:rsidR="002037F7" w:rsidRDefault="002B0180" w:rsidP="00D543AC">
      <w:pPr>
        <w:jc w:val="both"/>
      </w:pPr>
      <w:r>
        <w:t>Jeg antar at jeg er deltaker i dette utvalget på bakgrunn av min menneskerettslige kompetanse. Jeg har min doktorkompetanse på menneskerettslige begrensinger for straffeprosessuelle inngrep</w:t>
      </w:r>
      <w:r w:rsidR="008449A9">
        <w:t>(varetekt)</w:t>
      </w:r>
      <w:r>
        <w:t xml:space="preserve">, og min professorkompetanse knyttet til menneskerettslige begrensinger for barnevernets inngrep, med et særskilt fokus på barns rettigheter for plassering i barnevernsinstitusjoner, og </w:t>
      </w:r>
      <w:r w:rsidR="008449A9">
        <w:t xml:space="preserve">rettigheter </w:t>
      </w:r>
      <w:r>
        <w:t xml:space="preserve">inne i institusjonene. </w:t>
      </w:r>
      <w:r w:rsidR="00A335BA">
        <w:t xml:space="preserve">Gjennom min deltakelse i flere nylig avsluttede forskningsprosjekt på barnevernsinstitusjoner, og som fagansvarlig i emnet institusjonsjuss har jeg også kompetanse knyttet til de praktiske utfordringene som oppstår i feltet. </w:t>
      </w:r>
      <w:r w:rsidR="00A80C5F">
        <w:t>Jeg gjør innledningsvis oppmerksom på at min tidligere utredning av det menneskerettslige handlerommet for strengere tiltak i barnevernet (Havre, 2023) ikke kan legges til grunn ved arbeidet i dette utvalget</w:t>
      </w:r>
      <w:r w:rsidR="00177171">
        <w:t xml:space="preserve"> knyttet til frihetsberøvelser</w:t>
      </w:r>
      <w:r w:rsidR="00344CF3">
        <w:t xml:space="preserve"> med samfunnsvern som må</w:t>
      </w:r>
      <w:r w:rsidR="006F53DF">
        <w:t>l basert på begått kriminalitet</w:t>
      </w:r>
      <w:r w:rsidR="003D5697">
        <w:t>.  Barnevernets eneste formål per i dag er individvern, og dette skal ifølge mandatet</w:t>
      </w:r>
      <w:r w:rsidR="00177171">
        <w:t>, med rette,</w:t>
      </w:r>
      <w:r w:rsidR="003D5697">
        <w:t xml:space="preserve"> ligge fast. </w:t>
      </w:r>
      <w:r w:rsidR="00D543AC">
        <w:t xml:space="preserve">Mandatet inneholder et </w:t>
      </w:r>
      <w:r w:rsidR="00E04804">
        <w:t xml:space="preserve">klart </w:t>
      </w:r>
      <w:r w:rsidR="00D543AC">
        <w:t xml:space="preserve">mål om beskyttelse av samfunnet(samfunnsvern), som også vises ved at utvalget er oppnevnt av Justis- og beredskapsdepartementet, og at det er det økende kriminalitetsbildet som er foranledningen for det politiske ønske om å opprette et nasjonalt Trygghetshus. </w:t>
      </w:r>
      <w:r w:rsidR="002037F7">
        <w:t>Et tiltak med samfunnsvern som mål kan ikke etableres innenfor barnevernet, men må etableres som et eget forvaltningstiltak</w:t>
      </w:r>
      <w:r w:rsidR="003D6EEF">
        <w:t xml:space="preserve"> eller </w:t>
      </w:r>
      <w:r w:rsidR="008E7CDC">
        <w:t>som et tiltak i kriminalomsorgen</w:t>
      </w:r>
      <w:r w:rsidR="003D6EEF">
        <w:t xml:space="preserve">. </w:t>
      </w:r>
    </w:p>
    <w:p w14:paraId="128CD356" w14:textId="662E6A14" w:rsidR="00D7493C" w:rsidRDefault="00D7493C" w:rsidP="00D543AC">
      <w:pPr>
        <w:jc w:val="both"/>
      </w:pPr>
      <w:r>
        <w:t>Det minnes også om at nye tiltak ikke vil kunne ha tilbakevirkende krav, jf. Grl. § 97, slik at tiltakene ikke vil kunne settes i verk for barn som nå allerede bor i barnevernsinstitusjoner, eller har fått idømt straffereaksjoner for begåtte kriminalitet, før en eventuell lovendring er vedtatt, og har tredd i kraft, basert på kriminelle handlinger etter tidspunktet for lovreguleringen.</w:t>
      </w:r>
    </w:p>
    <w:p w14:paraId="052D86B0" w14:textId="77777777" w:rsidR="005F0550" w:rsidRPr="005F0550" w:rsidRDefault="006A12DE" w:rsidP="001614F9">
      <w:pPr>
        <w:jc w:val="both"/>
      </w:pPr>
      <w:r>
        <w:t xml:space="preserve">Mandatets klare samfunnsbeskyttende målsetning på bakgrunn av begått kriminalitet, utløser andre menneskerettslige spørsmål, </w:t>
      </w:r>
      <w:r w:rsidR="00690C22">
        <w:t>da det vil kreve en harmonisering mellom forvaltningssporet og straffesporet.</w:t>
      </w:r>
    </w:p>
    <w:p w14:paraId="749CA076" w14:textId="7A680FA8" w:rsidR="001614F9" w:rsidRDefault="00690C22" w:rsidP="001614F9">
      <w:pPr>
        <w:jc w:val="both"/>
      </w:pPr>
      <w:r>
        <w:t xml:space="preserve"> </w:t>
      </w:r>
      <w:r w:rsidR="006D7E24">
        <w:t>Når samfunnsvern også skal være målsetningen med nye tiltak for å bekjempe ungdomskriminalitet,</w:t>
      </w:r>
      <w:r w:rsidR="001614F9">
        <w:t xml:space="preserve"> utløses det en rekke spørsmål av grunnleggende rettssikkerhetsmessig og rettsstatlig karakter, både for dem under 15 år og for dem over 15 år. For dem under 15 år berører tiltaket også spørsmål om konsekvens og sammenheng i regelverket for lovbrytere uten skyldevne, jf. straffelovens § 20, sammenholdt med straffelovens § 62 og 63. </w:t>
      </w:r>
    </w:p>
    <w:p w14:paraId="246FEB25" w14:textId="77777777" w:rsidR="001614F9" w:rsidRDefault="001614F9" w:rsidP="006D7E24">
      <w:pPr>
        <w:jc w:val="both"/>
      </w:pPr>
    </w:p>
    <w:p w14:paraId="554804C3" w14:textId="77777777" w:rsidR="00ED6072" w:rsidRDefault="00ED6072" w:rsidP="008449A9">
      <w:pPr>
        <w:jc w:val="both"/>
      </w:pPr>
    </w:p>
    <w:p w14:paraId="2668DBD1" w14:textId="0EB5BD74" w:rsidR="005F0550" w:rsidRDefault="005F0550" w:rsidP="008449A9">
      <w:pPr>
        <w:jc w:val="both"/>
      </w:pPr>
      <w:r>
        <w:lastRenderedPageBreak/>
        <w:t xml:space="preserve">Tiltaket som nå skal utredes, et nasjonalt trygghetshus - en lukket institusjon, er menneskerettslig å regne som en frihetsberøvelse enten institusjonen legges i straffesporet eller i forvaltningssporet, jf. BK art. 37b. </w:t>
      </w:r>
    </w:p>
    <w:p w14:paraId="269C59F2" w14:textId="6A785BDB" w:rsidR="00153789" w:rsidRDefault="006D7E24" w:rsidP="008449A9">
      <w:pPr>
        <w:jc w:val="both"/>
      </w:pPr>
      <w:r>
        <w:t>Slike tiltak utløser spørsmål knyttet til Grl. § 94, 95, 96, og 97, og muligens 98, sammenholdt med Grl. § 104, alle rettigheter tatt inn i Grunnlovens menneskerettskapittel ved grunnlovsendring i 2014. Tiltakene utløser også spørsmål knyttet til de tilsvarende rettighetene i EMK art. 5</w:t>
      </w:r>
      <w:r w:rsidR="00FE44F2">
        <w:t xml:space="preserve"> </w:t>
      </w:r>
      <w:r>
        <w:t xml:space="preserve">(doble frihetsberøvelser), EMK art. 6 og syvende tilleggsprotokoll art. 4, som alle gjelder som norsk lov, og ved motstrid skal gå foran norsk lov, jf. menneskerettslovens § 2 og 3. For spørsmålene om informasjonsdeling vil barnas rettigheter også være beskyttet av Grl. § 102, og EMK art. 8, og vernet mot selvinkriminering. </w:t>
      </w:r>
    </w:p>
    <w:p w14:paraId="75C97A70" w14:textId="77777777" w:rsidR="00FF0ACB" w:rsidRDefault="00F25AD3" w:rsidP="008449A9">
      <w:pPr>
        <w:jc w:val="both"/>
      </w:pPr>
      <w:r>
        <w:t>Når mandatet kun viser til enkelte gjeldende menneskerettsbestemmelser (etter BK, antakelig BK art. 37b), men ikke til barnas sivile og politiske rettigheter etter Grl., EMK og SP, kan dette skape uklarhet for hva som er ekspertgruppens arbeid, og hvilke ressursprioriteringer utvalget</w:t>
      </w:r>
      <w:r w:rsidR="00DB682A">
        <w:t>s arbeid</w:t>
      </w:r>
      <w:r>
        <w:t xml:space="preserve"> styres etter. Det kan også gi uklarhet om tiltakene som foreslås skal måtte ligge innenfor det menneskerettslige handlerom, eller om det kan utredes tiltak som ikke samsvarer med de menneskerettslige rammene. </w:t>
      </w:r>
    </w:p>
    <w:p w14:paraId="529AAB47" w14:textId="1471DE69" w:rsidR="00FF0ACB" w:rsidRDefault="00FF0ACB" w:rsidP="00FF0ACB">
      <w:pPr>
        <w:pStyle w:val="Listeavsnitt"/>
        <w:numPr>
          <w:ilvl w:val="0"/>
          <w:numId w:val="2"/>
        </w:numPr>
        <w:jc w:val="both"/>
      </w:pPr>
      <w:r>
        <w:t>Det bes derfor om en presisering av om tiltakene som foreslås skal måtte følge de menneskerettslige begrensingene</w:t>
      </w:r>
      <w:r w:rsidR="00CB5C9D">
        <w:t xml:space="preserve"> </w:t>
      </w:r>
    </w:p>
    <w:p w14:paraId="2FD68136" w14:textId="5B73AC8A" w:rsidR="00D7493C" w:rsidRDefault="00D7493C" w:rsidP="00D7493C">
      <w:pPr>
        <w:jc w:val="both"/>
      </w:pPr>
      <w:r>
        <w:t xml:space="preserve">Dette er særlig viktige presiseringer for en hurtigarbeidende ekspertgrupper som denne. </w:t>
      </w:r>
    </w:p>
    <w:p w14:paraId="469ACE89" w14:textId="3656C54B" w:rsidR="00E75174" w:rsidRDefault="00E75174" w:rsidP="00D7493C">
      <w:pPr>
        <w:jc w:val="both"/>
      </w:pPr>
      <w:r>
        <w:t xml:space="preserve">Dersom den endelige juridiske vurderingen viser at det er risiko for menneskerettsbrudd om det ikke skjer en harmonisering mellom forvaltningssporet og straffesporet, vil det være to mulige utganger. </w:t>
      </w:r>
      <w:r w:rsidR="00441522">
        <w:t xml:space="preserve">Den ene muligheten ligger i nye strafferettslige reaksjoner. </w:t>
      </w:r>
    </w:p>
    <w:p w14:paraId="6AC9D2BE" w14:textId="11804959" w:rsidR="00B55C7D" w:rsidRDefault="00B55C7D" w:rsidP="00D7493C">
      <w:pPr>
        <w:jc w:val="both"/>
      </w:pPr>
      <w:r>
        <w:t xml:space="preserve">Dersom samfunnsvernet skal ligge fast, er eneste mulige løsning at det gis dom på tvungen omsorg i Trygghetshus som del av domstolene straffeutmåling for barna over 15 år, enten sammen med betinget dom, ungdomsstraff og samfunnsstraff, eller i tillegg til ubetinget fengsel og at tiltaket brukes som et varetektsurrogat og derfor gir fradrag i den senere straffeutmålingen. Dette krever endringer i straffeprosessloven, og straffeloven, og eventuelt også i straffegjennomføringsloven og konfliktrådsloven. </w:t>
      </w:r>
    </w:p>
    <w:p w14:paraId="3586DD86" w14:textId="1DD1332D" w:rsidR="00FF0ACB" w:rsidRDefault="00FF0ACB" w:rsidP="008449A9">
      <w:pPr>
        <w:jc w:val="both"/>
      </w:pPr>
      <w:r>
        <w:t xml:space="preserve">Mandatet er </w:t>
      </w:r>
      <w:r w:rsidR="002A0A66">
        <w:t xml:space="preserve">imidlertid </w:t>
      </w:r>
      <w:r>
        <w:t xml:space="preserve">avgrenset mot å utrede nye strafferettslige reaksjoner. Grunnen er oppgitt til å være at dette ville kreve en helt annen sammensetning av utvalget, og fordi det nettopp er skjedd endringer i straffeloven som trådte i kraft 1. september 2024, blant annet ved å fjerne samtykkekravet til ungdomsstraff, og ved å gi mulighet til bruk av elektronisk fotlenke. </w:t>
      </w:r>
      <w:r w:rsidR="002A0A66">
        <w:t xml:space="preserve">Departementet kan da risikere at utvalget foreslår tiltak, hvis juridisk konsekvens er at det tiltaket strider mot de overordnede normene, og kan gi en høy risiko for fremtidige menneskerettsbrudd i menneskerettsdomstolen i Strasbourg. </w:t>
      </w:r>
    </w:p>
    <w:p w14:paraId="10467A72" w14:textId="36A85D55" w:rsidR="0016248D" w:rsidRDefault="00502862" w:rsidP="00502862">
      <w:pPr>
        <w:jc w:val="both"/>
      </w:pPr>
      <w:r>
        <w:t>Enten tiltaket ligger i straffesporet (som lavsikkerhetsfengsel) eller i forvaltningssporet (som nasjonalt trygghetshus), vil dette senke terskelen for frihetsberøvelser av barn</w:t>
      </w:r>
      <w:r w:rsidR="0016248D">
        <w:t xml:space="preserve"> på bakgrunn av begått kriminalitet, da straffesporet fortsatt skal bestå uendret. </w:t>
      </w:r>
    </w:p>
    <w:p w14:paraId="20CBE521" w14:textId="2BEE6E72" w:rsidR="00502862" w:rsidRDefault="00502862" w:rsidP="00502862">
      <w:pPr>
        <w:jc w:val="both"/>
      </w:pPr>
      <w:r>
        <w:t>Det vil ikke være mulig å senke terskelen for fengsling av barn i et lavsikkerhetsfengsel uten lovendring, da lovgiver i 2012 har gitt sterke signaler om høy terskel for fengsling av barn som gjenspeiles i Høyesterett sin straffeutmålingspraksis, og politiske beslutninger ikke kan binde domstolens straffeutmålingspraksis.</w:t>
      </w:r>
      <w:r w:rsidR="0015420D">
        <w:t xml:space="preserve"> </w:t>
      </w:r>
      <w:r w:rsidR="008A29DA">
        <w:t xml:space="preserve"> </w:t>
      </w:r>
      <w:r w:rsidR="00C24426">
        <w:t>O</w:t>
      </w:r>
      <w:r w:rsidR="008A29DA">
        <w:t xml:space="preserve">gså dersom man innfører </w:t>
      </w:r>
      <w:r w:rsidR="00C00E7A">
        <w:t>en lukket institusjon</w:t>
      </w:r>
      <w:r w:rsidR="004F2569">
        <w:t>(frihetsberøvelse)</w:t>
      </w:r>
      <w:r w:rsidR="00C00E7A">
        <w:t xml:space="preserve"> i forvaltningssporet</w:t>
      </w:r>
      <w:r w:rsidR="00032233">
        <w:t xml:space="preserve"> </w:t>
      </w:r>
      <w:r w:rsidR="00C00E7A">
        <w:t>(</w:t>
      </w:r>
      <w:r w:rsidR="00D31F7A">
        <w:t>Nasjonalt trygghetshus</w:t>
      </w:r>
      <w:r w:rsidR="00C00E7A">
        <w:t>), med samfunnsvern som mål</w:t>
      </w:r>
      <w:r w:rsidR="001D7FA9">
        <w:t xml:space="preserve"> basert på begått kriminalitet</w:t>
      </w:r>
      <w:r w:rsidR="00D31F7A">
        <w:t xml:space="preserve"> det også skal utmåles straff for</w:t>
      </w:r>
      <w:r w:rsidR="00C24426">
        <w:t xml:space="preserve">, vil dette måtte skje som ledd i utmålingen av straff, slik at det eventuelt </w:t>
      </w:r>
      <w:r w:rsidR="00C24426">
        <w:lastRenderedPageBreak/>
        <w:t xml:space="preserve">må vurderes en ny </w:t>
      </w:r>
      <w:proofErr w:type="spellStart"/>
      <w:r w:rsidR="00C24426">
        <w:t>straffeart</w:t>
      </w:r>
      <w:proofErr w:type="spellEnd"/>
      <w:r w:rsidR="00C24426">
        <w:t xml:space="preserve"> – dom på </w:t>
      </w:r>
      <w:r w:rsidR="00032233">
        <w:t xml:space="preserve">tvungen omsorg for barn. </w:t>
      </w:r>
      <w:r>
        <w:t xml:space="preserve">For barna under 15 år vil det måtte vurderes dom på tvungen omsorg i et slikt nasjonalt trygghetshus, selv om det skal ligge i forvaltningssporet, og den kriminelle lavalderen skal ligge fast. Barna er uten skyldevne, og skal gå fri for straffeansvar i straffesporet (endelig frifunnet), men </w:t>
      </w:r>
      <w:r w:rsidR="008D25D9">
        <w:t>vil gjennom e</w:t>
      </w:r>
      <w:r w:rsidR="00BC3650">
        <w:t xml:space="preserve">n frihetsberøvelse i et Nasjonalt trygghetshus </w:t>
      </w:r>
      <w:r>
        <w:t>likevel</w:t>
      </w:r>
      <w:r w:rsidR="00BC3650">
        <w:t xml:space="preserve"> ilegges</w:t>
      </w:r>
      <w:r>
        <w:t xml:space="preserve"> en forvaltningssanksjon med samfunnsvern som mål gjennom en frihetsberøvelse</w:t>
      </w:r>
      <w:r w:rsidR="001B4F3D">
        <w:t>.</w:t>
      </w:r>
      <w:r>
        <w:t xml:space="preserve"> </w:t>
      </w:r>
    </w:p>
    <w:p w14:paraId="4921DC88" w14:textId="78EC04C7" w:rsidR="00502862" w:rsidRDefault="00502862" w:rsidP="00502862">
      <w:pPr>
        <w:pStyle w:val="Listeavsnitt"/>
        <w:numPr>
          <w:ilvl w:val="0"/>
          <w:numId w:val="2"/>
        </w:numPr>
        <w:jc w:val="both"/>
      </w:pPr>
      <w:r>
        <w:t xml:space="preserve">Det bes derfor om en ny </w:t>
      </w:r>
      <w:r w:rsidR="00012FC6">
        <w:t>stillingtaken</w:t>
      </w:r>
      <w:r>
        <w:t xml:space="preserve"> til om utvalget skal kunne utrede</w:t>
      </w:r>
      <w:r w:rsidR="009B7555">
        <w:t xml:space="preserve">, og kunne foreslå </w:t>
      </w:r>
      <w:r>
        <w:t xml:space="preserve">nye strafferettslige reaksjoner. </w:t>
      </w:r>
    </w:p>
    <w:p w14:paraId="21125A5E" w14:textId="77777777" w:rsidR="00C20F1D" w:rsidRDefault="002015A7" w:rsidP="008449A9">
      <w:pPr>
        <w:jc w:val="both"/>
      </w:pPr>
      <w:r>
        <w:t xml:space="preserve">Dersom mandatet ikke åpnes for en harmonisering mellom de to sporene, vil </w:t>
      </w:r>
      <w:r w:rsidR="00F7098E">
        <w:t xml:space="preserve">menneskerettsvernet ikke tillate at samfunnsvernet blir en del av forvaltningstiltaket, enten det legges innenfor eller utenfor barnevernet. </w:t>
      </w:r>
    </w:p>
    <w:p w14:paraId="0EB95E58" w14:textId="7F26A2C4" w:rsidR="007E7DAB" w:rsidRDefault="00FF3F2E" w:rsidP="008449A9">
      <w:pPr>
        <w:jc w:val="both"/>
      </w:pPr>
      <w:r>
        <w:t xml:space="preserve">Den andre mulige veien, </w:t>
      </w:r>
      <w:r w:rsidR="00204335">
        <w:t>ligger allerede i dagens system etter barnevernslovens kap. 6, men hvor det av samme menneskerettslige grunner må skje endringer i lovens formuleringer. Denne veien forutsetter imidlertid at kriminalitetsbekjempelse, og kriminalitetspolitikk/statistikk ikke flytter med barna inn i velferdssporet, og at verken barnevernet eller barna skal kunne målstyres ut fra nedgang i kriminalitet.</w:t>
      </w:r>
      <w:r>
        <w:t xml:space="preserve"> </w:t>
      </w:r>
      <w:r w:rsidR="00610488">
        <w:t>Det enkelte barnets behov for hjelp til å bygge det jeg kaller et mer bærekraftig liv for seg selv, er det samme, uansett svingninger i kriminalitetsbilde</w:t>
      </w:r>
      <w:r>
        <w:t>t</w:t>
      </w:r>
      <w:r w:rsidR="00905B05">
        <w:t>. Selv om målet kan være å hjelpe barna ut av kriminalitet</w:t>
      </w:r>
      <w:r w:rsidR="00E11AEA">
        <w:t>,</w:t>
      </w:r>
      <w:r w:rsidR="00905B05">
        <w:t xml:space="preserve"> også i et </w:t>
      </w:r>
      <w:proofErr w:type="spellStart"/>
      <w:r w:rsidR="00905B05">
        <w:t>velferdspor</w:t>
      </w:r>
      <w:proofErr w:type="spellEnd"/>
      <w:r w:rsidR="00905B05">
        <w:t>, er det forskjeller i hvilke hensyn som kan begrunne de ulike tiltakene som foreslås.</w:t>
      </w:r>
      <w:r w:rsidR="00566683">
        <w:t xml:space="preserve"> Det vil her ikke kunne tillattes at hensynet til samfunnsvernet går foran barnets behov</w:t>
      </w:r>
      <w:r w:rsidR="00602F07">
        <w:t>, som man, på strenge vilkår, vil kunne tillatte i et straffe</w:t>
      </w:r>
      <w:r w:rsidR="00F6035D">
        <w:t>/sanksjonss</w:t>
      </w:r>
      <w:r w:rsidR="00602F07">
        <w:t xml:space="preserve">por. </w:t>
      </w:r>
      <w:r w:rsidR="00301AB7">
        <w:t xml:space="preserve">Et rent velferdsspor forutsetter at tiltakene som settes inn tilfører et gode, ikke pålegger et onde.  </w:t>
      </w:r>
      <w:r w:rsidR="00204335">
        <w:t>Verken domstolen, politi, kriminalomsorg eller påtalemyndighet vil da kunne styre tiltakene, og heller ikke når det eventuelt er nødvendig for barnet å utelukkes fra samfunnet.</w:t>
      </w:r>
      <w:r w:rsidR="000F71A7">
        <w:t xml:space="preserve"> Dette må da vurderes barnevernsfaglig ut fra det enkelte barnets individuelle sårbarhet, og hvordan tvang og frihetsberøvelser virker</w:t>
      </w:r>
      <w:r w:rsidR="00F6035D">
        <w:t xml:space="preserve"> konkret</w:t>
      </w:r>
      <w:r w:rsidR="000F71A7">
        <w:t xml:space="preserve"> på </w:t>
      </w:r>
      <w:r w:rsidR="00F6035D">
        <w:t xml:space="preserve">dette </w:t>
      </w:r>
      <w:r w:rsidR="000F71A7">
        <w:t>barnet.</w:t>
      </w:r>
      <w:r w:rsidR="00204335">
        <w:t xml:space="preserve"> </w:t>
      </w:r>
    </w:p>
    <w:p w14:paraId="4859E859" w14:textId="05C1444F" w:rsidR="00F25AD3" w:rsidRDefault="00DD626B" w:rsidP="008449A9">
      <w:pPr>
        <w:jc w:val="both"/>
      </w:pPr>
      <w:r>
        <w:t xml:space="preserve">Under forutsetning av at behovet styres av barnets behov, og ikke av samfunnets behov, </w:t>
      </w:r>
      <w:r w:rsidR="000F71A7">
        <w:t xml:space="preserve">vil </w:t>
      </w:r>
      <w:r>
        <w:t xml:space="preserve">det </w:t>
      </w:r>
      <w:r w:rsidR="009D60E6">
        <w:t>trolig</w:t>
      </w:r>
      <w:r w:rsidR="000F71A7">
        <w:t xml:space="preserve"> være mulig med strengere tiltak enn i dag, både for å gi barnet selv bedre beskyttelse og omsorg, og også </w:t>
      </w:r>
      <w:r w:rsidR="008449A9">
        <w:t xml:space="preserve">for å ivareta hensynet til sikkerheten til andre barn i institusjonene, og til ansatte. </w:t>
      </w:r>
    </w:p>
    <w:p w14:paraId="5051E896" w14:textId="3DA0F1E3" w:rsidR="008449A9" w:rsidRDefault="00204335" w:rsidP="008449A9">
      <w:pPr>
        <w:jc w:val="both"/>
      </w:pPr>
      <w:r>
        <w:t>Det er ønskelig med en presisering av om også et slikt tiltak er av interesse å få utredet</w:t>
      </w:r>
      <w:r w:rsidR="000F71A7">
        <w:t xml:space="preserve"> av utvalget, også uavhengig av om straffesporet åpnes opp, som et mindre inngripende tiltak, med mulig større </w:t>
      </w:r>
      <w:r w:rsidR="00C95500">
        <w:t xml:space="preserve">langsiktig </w:t>
      </w:r>
      <w:r w:rsidR="000F71A7">
        <w:t>effekt</w:t>
      </w:r>
      <w:r w:rsidR="00C95500">
        <w:t xml:space="preserve"> på kriminalitetsutviklingen</w:t>
      </w:r>
      <w:r w:rsidR="000F71A7">
        <w:t xml:space="preserve">, og trolig også mindre kostnadskrevende enn et nytt tiltak i forvaltningssporet eller i straffesporet. </w:t>
      </w:r>
      <w:r w:rsidR="008449A9">
        <w:t xml:space="preserve"> </w:t>
      </w:r>
    </w:p>
    <w:p w14:paraId="360B421C" w14:textId="1988FEC6" w:rsidR="008449A9" w:rsidRDefault="008449A9" w:rsidP="008449A9">
      <w:pPr>
        <w:pStyle w:val="Listeavsnitt"/>
        <w:numPr>
          <w:ilvl w:val="0"/>
          <w:numId w:val="2"/>
        </w:numPr>
        <w:jc w:val="both"/>
      </w:pPr>
      <w:r>
        <w:t xml:space="preserve">Det bes om presisering </w:t>
      </w:r>
      <w:r w:rsidR="00C30AD0">
        <w:t xml:space="preserve">av </w:t>
      </w:r>
      <w:r>
        <w:t>om</w:t>
      </w:r>
      <w:r w:rsidR="000F71A7">
        <w:t xml:space="preserve"> tiltak med utelukkende individvern som mål</w:t>
      </w:r>
      <w:r w:rsidR="00027BA9">
        <w:t>,</w:t>
      </w:r>
      <w:r w:rsidR="000F71A7">
        <w:t xml:space="preserve"> ønskes utredet</w:t>
      </w:r>
      <w:r>
        <w:t xml:space="preserve"> som del av utvalgets arbeid</w:t>
      </w:r>
      <w:r w:rsidR="00C30AD0">
        <w:t xml:space="preserve">. </w:t>
      </w:r>
    </w:p>
    <w:p w14:paraId="09DE04A9" w14:textId="07315A90" w:rsidR="008449A9" w:rsidRDefault="008449A9" w:rsidP="008449A9">
      <w:pPr>
        <w:ind w:left="3192" w:firstLine="348"/>
        <w:jc w:val="both"/>
      </w:pPr>
      <w:r>
        <w:t>Oslo, 27. oktober 2024</w:t>
      </w:r>
    </w:p>
    <w:p w14:paraId="49B37C89" w14:textId="063EE56D" w:rsidR="008449A9" w:rsidRDefault="008449A9" w:rsidP="003179D7">
      <w:pPr>
        <w:ind w:left="3540"/>
        <w:jc w:val="both"/>
      </w:pPr>
      <w:r>
        <w:t>Merete Havre</w:t>
      </w:r>
      <w:r w:rsidR="003179D7">
        <w:t xml:space="preserve">, utvalgsmedlem </w:t>
      </w:r>
    </w:p>
    <w:p w14:paraId="71281C5B" w14:textId="08DBA556" w:rsidR="008449A9" w:rsidRDefault="008449A9" w:rsidP="008449A9">
      <w:pPr>
        <w:spacing w:line="240" w:lineRule="auto"/>
        <w:ind w:left="3538"/>
        <w:jc w:val="both"/>
      </w:pPr>
      <w:r>
        <w:t>Ph.d. i rettsvitenskap</w:t>
      </w:r>
      <w:r w:rsidR="00012FC6">
        <w:t xml:space="preserve"> </w:t>
      </w:r>
      <w:r w:rsidR="003179D7">
        <w:t>(UiO)</w:t>
      </w:r>
      <w:r>
        <w:t>,</w:t>
      </w:r>
    </w:p>
    <w:p w14:paraId="1EEFDF09" w14:textId="77777777" w:rsidR="008449A9" w:rsidRDefault="008449A9" w:rsidP="008449A9">
      <w:pPr>
        <w:spacing w:line="240" w:lineRule="auto"/>
        <w:ind w:left="3538"/>
        <w:jc w:val="both"/>
      </w:pPr>
      <w:r>
        <w:t xml:space="preserve">Professor i rettsvitenskap, OsloMet – storbyuniversitet, </w:t>
      </w:r>
    </w:p>
    <w:p w14:paraId="4A100C85" w14:textId="77777777" w:rsidR="008449A9" w:rsidRDefault="008449A9" w:rsidP="008449A9">
      <w:pPr>
        <w:spacing w:line="240" w:lineRule="auto"/>
        <w:ind w:left="3538"/>
        <w:jc w:val="both"/>
      </w:pPr>
      <w:r>
        <w:t xml:space="preserve">for tiden i permisjon som førsteamanuensis, </w:t>
      </w:r>
    </w:p>
    <w:p w14:paraId="6B0D53D2" w14:textId="734C1D61" w:rsidR="008449A9" w:rsidRDefault="008449A9" w:rsidP="008449A9">
      <w:pPr>
        <w:spacing w:line="240" w:lineRule="auto"/>
        <w:ind w:left="3538"/>
        <w:jc w:val="both"/>
      </w:pPr>
      <w:r>
        <w:t>Det juridiske fakultet, UiO.</w:t>
      </w:r>
    </w:p>
    <w:p w14:paraId="0855DB1A" w14:textId="79F59045" w:rsidR="005406A9" w:rsidRDefault="005406A9" w:rsidP="008449A9">
      <w:pPr>
        <w:jc w:val="both"/>
      </w:pPr>
    </w:p>
    <w:p w14:paraId="495CE904" w14:textId="77777777" w:rsidR="005406A9" w:rsidRDefault="005406A9" w:rsidP="008449A9">
      <w:pPr>
        <w:jc w:val="both"/>
      </w:pPr>
    </w:p>
    <w:sectPr w:rsidR="005406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E0EB9"/>
    <w:multiLevelType w:val="hybridMultilevel"/>
    <w:tmpl w:val="631EE1B6"/>
    <w:lvl w:ilvl="0" w:tplc="0A8600F8">
      <w:start w:val="19"/>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42CD7DA4"/>
    <w:multiLevelType w:val="hybridMultilevel"/>
    <w:tmpl w:val="ABBCDC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180"/>
    <w:rsid w:val="00012FC6"/>
    <w:rsid w:val="00027BA9"/>
    <w:rsid w:val="00032233"/>
    <w:rsid w:val="00041CD2"/>
    <w:rsid w:val="000753C7"/>
    <w:rsid w:val="00097B10"/>
    <w:rsid w:val="000F71A7"/>
    <w:rsid w:val="00153789"/>
    <w:rsid w:val="00153992"/>
    <w:rsid w:val="0015420D"/>
    <w:rsid w:val="001614F9"/>
    <w:rsid w:val="0016248D"/>
    <w:rsid w:val="00171C06"/>
    <w:rsid w:val="00173E29"/>
    <w:rsid w:val="00177171"/>
    <w:rsid w:val="00191A7E"/>
    <w:rsid w:val="001B11BF"/>
    <w:rsid w:val="001B4F3D"/>
    <w:rsid w:val="001D7FA9"/>
    <w:rsid w:val="002015A7"/>
    <w:rsid w:val="002037F7"/>
    <w:rsid w:val="00204335"/>
    <w:rsid w:val="002A0A66"/>
    <w:rsid w:val="002B0180"/>
    <w:rsid w:val="002B76E9"/>
    <w:rsid w:val="002E5334"/>
    <w:rsid w:val="00301AB7"/>
    <w:rsid w:val="003179D7"/>
    <w:rsid w:val="00344CF3"/>
    <w:rsid w:val="00360DE5"/>
    <w:rsid w:val="003D5697"/>
    <w:rsid w:val="003D6EEF"/>
    <w:rsid w:val="003F1DC0"/>
    <w:rsid w:val="00441522"/>
    <w:rsid w:val="004F2569"/>
    <w:rsid w:val="00502862"/>
    <w:rsid w:val="005237A9"/>
    <w:rsid w:val="005406A9"/>
    <w:rsid w:val="005468B0"/>
    <w:rsid w:val="00566683"/>
    <w:rsid w:val="005C2008"/>
    <w:rsid w:val="005F0550"/>
    <w:rsid w:val="00602F07"/>
    <w:rsid w:val="00610488"/>
    <w:rsid w:val="00690C22"/>
    <w:rsid w:val="006A12DE"/>
    <w:rsid w:val="006D7E24"/>
    <w:rsid w:val="006E2657"/>
    <w:rsid w:val="006F53DF"/>
    <w:rsid w:val="007006E9"/>
    <w:rsid w:val="00712764"/>
    <w:rsid w:val="00750C9B"/>
    <w:rsid w:val="007E7DAB"/>
    <w:rsid w:val="00804BF0"/>
    <w:rsid w:val="00842A91"/>
    <w:rsid w:val="008449A9"/>
    <w:rsid w:val="008A29DA"/>
    <w:rsid w:val="008D25D9"/>
    <w:rsid w:val="008E7CDC"/>
    <w:rsid w:val="00905B05"/>
    <w:rsid w:val="009B7555"/>
    <w:rsid w:val="009D60E6"/>
    <w:rsid w:val="00A335BA"/>
    <w:rsid w:val="00A80C5F"/>
    <w:rsid w:val="00AF371D"/>
    <w:rsid w:val="00B55C7D"/>
    <w:rsid w:val="00B811D1"/>
    <w:rsid w:val="00BB162A"/>
    <w:rsid w:val="00BC3650"/>
    <w:rsid w:val="00C00E7A"/>
    <w:rsid w:val="00C20F1D"/>
    <w:rsid w:val="00C24426"/>
    <w:rsid w:val="00C30AD0"/>
    <w:rsid w:val="00C95500"/>
    <w:rsid w:val="00CB5C9D"/>
    <w:rsid w:val="00D31F7A"/>
    <w:rsid w:val="00D40DA0"/>
    <w:rsid w:val="00D543AC"/>
    <w:rsid w:val="00D7493C"/>
    <w:rsid w:val="00DB682A"/>
    <w:rsid w:val="00DD626B"/>
    <w:rsid w:val="00E04804"/>
    <w:rsid w:val="00E11AEA"/>
    <w:rsid w:val="00E75174"/>
    <w:rsid w:val="00ED0F2F"/>
    <w:rsid w:val="00ED6072"/>
    <w:rsid w:val="00F25AD3"/>
    <w:rsid w:val="00F5382B"/>
    <w:rsid w:val="00F6035D"/>
    <w:rsid w:val="00F7098E"/>
    <w:rsid w:val="00FA6660"/>
    <w:rsid w:val="00FE44F2"/>
    <w:rsid w:val="00FF0ACB"/>
    <w:rsid w:val="00FF3F2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7BC47"/>
  <w15:chartTrackingRefBased/>
  <w15:docId w15:val="{1A48CF02-0CEF-4685-8055-CA914345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B0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0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018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018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018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018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018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018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018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B018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B018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B018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B018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B018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B018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B018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B018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B0180"/>
    <w:rPr>
      <w:rFonts w:eastAsiaTheme="majorEastAsia" w:cstheme="majorBidi"/>
      <w:color w:val="272727" w:themeColor="text1" w:themeTint="D8"/>
    </w:rPr>
  </w:style>
  <w:style w:type="paragraph" w:styleId="Tittel">
    <w:name w:val="Title"/>
    <w:basedOn w:val="Normal"/>
    <w:next w:val="Normal"/>
    <w:link w:val="TittelTegn"/>
    <w:uiPriority w:val="10"/>
    <w:qFormat/>
    <w:rsid w:val="002B0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B018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B018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B018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B018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B0180"/>
    <w:rPr>
      <w:i/>
      <w:iCs/>
      <w:color w:val="404040" w:themeColor="text1" w:themeTint="BF"/>
    </w:rPr>
  </w:style>
  <w:style w:type="paragraph" w:styleId="Listeavsnitt">
    <w:name w:val="List Paragraph"/>
    <w:basedOn w:val="Normal"/>
    <w:uiPriority w:val="34"/>
    <w:qFormat/>
    <w:rsid w:val="002B0180"/>
    <w:pPr>
      <w:ind w:left="720"/>
      <w:contextualSpacing/>
    </w:pPr>
  </w:style>
  <w:style w:type="character" w:styleId="Sterkutheving">
    <w:name w:val="Intense Emphasis"/>
    <w:basedOn w:val="Standardskriftforavsnitt"/>
    <w:uiPriority w:val="21"/>
    <w:qFormat/>
    <w:rsid w:val="002B0180"/>
    <w:rPr>
      <w:i/>
      <w:iCs/>
      <w:color w:val="0F4761" w:themeColor="accent1" w:themeShade="BF"/>
    </w:rPr>
  </w:style>
  <w:style w:type="paragraph" w:styleId="Sterktsitat">
    <w:name w:val="Intense Quote"/>
    <w:basedOn w:val="Normal"/>
    <w:next w:val="Normal"/>
    <w:link w:val="SterktsitatTegn"/>
    <w:uiPriority w:val="30"/>
    <w:qFormat/>
    <w:rsid w:val="002B0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B0180"/>
    <w:rPr>
      <w:i/>
      <w:iCs/>
      <w:color w:val="0F4761" w:themeColor="accent1" w:themeShade="BF"/>
    </w:rPr>
  </w:style>
  <w:style w:type="character" w:styleId="Sterkreferanse">
    <w:name w:val="Intense Reference"/>
    <w:basedOn w:val="Standardskriftforavsnitt"/>
    <w:uiPriority w:val="32"/>
    <w:qFormat/>
    <w:rsid w:val="002B01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ec81f12-6286-4550-8911-f446fcdafa1f}" enabled="0" method="" siteId="{fec81f12-6286-4550-8911-f446fcdafa1f}"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1603</Words>
  <Characters>8497</Characters>
  <Application>Microsoft Office Word</Application>
  <DocSecurity>4</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OsloMet</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Merete Havre</dc:creator>
  <cp:keywords/>
  <dc:description/>
  <cp:lastModifiedBy>Ann-Sophi Glad</cp:lastModifiedBy>
  <cp:revision>2</cp:revision>
  <dcterms:created xsi:type="dcterms:W3CDTF">2024-11-11T14:36:00Z</dcterms:created>
  <dcterms:modified xsi:type="dcterms:W3CDTF">2024-11-11T14:36:00Z</dcterms:modified>
</cp:coreProperties>
</file>